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友好区</w:t>
      </w:r>
      <w:r>
        <w:rPr>
          <w:rFonts w:hint="eastAsia"/>
          <w:sz w:val="44"/>
          <w:szCs w:val="44"/>
          <w:lang w:eastAsia="zh-CN"/>
        </w:rPr>
        <w:t>转移支付预算说明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友好区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转移支付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收入27,019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返还性收入357万元，其中：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所得税基数返还收入28万元；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消费税税收返还收入2万元；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增值税“五五分享”税收返还收入327万元。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二、一般性转移支付收入26,662万元，其中：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均衡性转移支付收入14,133万元；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重点生态功能区转移支付150万元；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固定数额补助收入12,313万元；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增值税留抵退税转移支付收入51万元；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其他退税减税降费转移支付收入15万元。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68D30B"/>
    <w:multiLevelType w:val="singleLevel"/>
    <w:tmpl w:val="D268D3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MDM0Y2JiZDViYmIzNDM5YTQ4MjJiMGY0NjQyMzAifQ=="/>
  </w:docVars>
  <w:rsids>
    <w:rsidRoot w:val="44BE0C61"/>
    <w:rsid w:val="01BA45E1"/>
    <w:rsid w:val="44A12D32"/>
    <w:rsid w:val="44BE0C61"/>
    <w:rsid w:val="482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139</Characters>
  <Lines>0</Lines>
  <Paragraphs>0</Paragraphs>
  <TotalTime>25</TotalTime>
  <ScaleCrop>false</ScaleCrop>
  <LinksUpToDate>false</LinksUpToDate>
  <CharactersWithSpaces>139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2021-03-30T01:56:00Z</dcterms:created>
  <dc:creator>Administrator</dc:creator>
  <cp:lastModifiedBy>super 运</cp:lastModifiedBy>
  <dcterms:modified xsi:type="dcterms:W3CDTF">2023-03-01T02:30:34Z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5EE32DCC837B40FE92FA53927188C109</vt:lpwstr>
  </property>
</Properties>
</file>