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120" w:beforeLines="50" w:after="120" w:afterLines="50" w:line="360" w:lineRule="auto"/>
        <w:ind w:firstLine="420" w:firstLineChars="0"/>
        <w:jc w:val="center"/>
        <w:rPr>
          <w:b/>
          <w:sz w:val="32"/>
          <w:szCs w:val="32"/>
        </w:rPr>
      </w:pPr>
    </w:p>
    <w:p>
      <w:pPr>
        <w:spacing w:before="120" w:beforeLines="50" w:after="120" w:afterLines="50" w:line="360" w:lineRule="auto"/>
        <w:jc w:val="center"/>
        <w:rPr>
          <w:rFonts w:hint="eastAsia"/>
          <w:b/>
          <w:sz w:val="32"/>
          <w:szCs w:val="32"/>
        </w:rPr>
      </w:pPr>
    </w:p>
    <w:p>
      <w:pPr>
        <w:spacing w:before="120" w:beforeLines="50" w:after="120" w:afterLines="50" w:line="360" w:lineRule="auto"/>
        <w:jc w:val="center"/>
        <w:rPr>
          <w:rFonts w:hint="eastAsia"/>
          <w:b/>
          <w:sz w:val="32"/>
          <w:szCs w:val="32"/>
        </w:rPr>
      </w:pPr>
    </w:p>
    <w:p>
      <w:pPr>
        <w:spacing w:before="120" w:beforeLines="50" w:after="120" w:afterLines="50" w:line="360" w:lineRule="auto"/>
        <w:jc w:val="center"/>
        <w:rPr>
          <w:rFonts w:hint="eastAsia" w:ascii="宋体" w:hAnsi="宋体" w:cs="宋体"/>
          <w:b/>
          <w:bCs/>
          <w:sz w:val="84"/>
          <w:szCs w:val="84"/>
        </w:rPr>
      </w:pPr>
      <w:r>
        <w:rPr>
          <w:rFonts w:hint="eastAsia" w:ascii="宋体" w:hAnsi="宋体" w:cs="宋体"/>
          <w:b/>
          <w:bCs/>
          <w:sz w:val="84"/>
          <w:szCs w:val="84"/>
        </w:rPr>
        <w:t xml:space="preserve"> </w:t>
      </w:r>
      <w:r>
        <w:rPr>
          <w:rFonts w:hint="eastAsia" w:ascii="宋体" w:hAnsi="宋体" w:cs="宋体"/>
          <w:b/>
          <w:bCs/>
          <w:sz w:val="84"/>
          <w:szCs w:val="84"/>
          <w:lang w:eastAsia="zh-CN"/>
        </w:rPr>
        <w:t>友好区</w:t>
      </w:r>
      <w:r>
        <w:rPr>
          <w:rFonts w:hint="eastAsia" w:ascii="宋体" w:hAnsi="宋体" w:cs="宋体"/>
          <w:b/>
          <w:bCs/>
          <w:sz w:val="84"/>
          <w:szCs w:val="84"/>
        </w:rPr>
        <w:t>农村生活污水治理专项规划（2020-2030）</w:t>
      </w:r>
    </w:p>
    <w:p>
      <w:pPr>
        <w:spacing w:before="120" w:beforeLines="50" w:after="120" w:afterLines="50" w:line="360" w:lineRule="auto"/>
        <w:jc w:val="center"/>
        <w:rPr>
          <w:rFonts w:hint="eastAsia" w:ascii="宋体" w:hAnsi="宋体" w:cs="宋体"/>
          <w:b/>
          <w:bCs/>
          <w:sz w:val="52"/>
          <w:szCs w:val="52"/>
        </w:rPr>
      </w:pPr>
    </w:p>
    <w:p>
      <w:pPr>
        <w:spacing w:before="120" w:beforeLines="50" w:after="120" w:afterLines="50" w:line="360" w:lineRule="auto"/>
        <w:jc w:val="center"/>
        <w:rPr>
          <w:rFonts w:hint="eastAsia" w:ascii="华文新魏" w:eastAsia="华文新魏"/>
          <w:sz w:val="24"/>
          <w:szCs w:val="24"/>
        </w:rPr>
      </w:pPr>
    </w:p>
    <w:p>
      <w:pPr>
        <w:spacing w:before="120" w:beforeLines="50" w:after="120" w:afterLines="50" w:line="360" w:lineRule="auto"/>
        <w:jc w:val="center"/>
        <w:rPr>
          <w:rFonts w:hint="eastAsia"/>
          <w:b/>
          <w:sz w:val="32"/>
          <w:szCs w:val="32"/>
        </w:rPr>
      </w:pPr>
    </w:p>
    <w:p>
      <w:pPr>
        <w:spacing w:before="120" w:beforeLines="50" w:after="120" w:afterLines="50" w:line="360" w:lineRule="auto"/>
        <w:jc w:val="center"/>
        <w:rPr>
          <w:rFonts w:hint="eastAsia"/>
          <w:b/>
          <w:sz w:val="32"/>
          <w:szCs w:val="32"/>
        </w:rPr>
      </w:pPr>
    </w:p>
    <w:p>
      <w:pPr>
        <w:spacing w:before="120" w:beforeLines="50" w:after="120" w:afterLines="50" w:line="360" w:lineRule="auto"/>
        <w:jc w:val="center"/>
        <w:rPr>
          <w:rFonts w:hint="eastAsia"/>
          <w:b/>
          <w:sz w:val="32"/>
          <w:szCs w:val="32"/>
        </w:rPr>
      </w:pPr>
    </w:p>
    <w:p>
      <w:pPr>
        <w:pStyle w:val="2"/>
        <w:ind w:firstLine="560"/>
        <w:rPr>
          <w:rFonts w:hint="eastAsia"/>
        </w:rPr>
      </w:pPr>
    </w:p>
    <w:p>
      <w:pPr>
        <w:spacing w:before="120" w:beforeLines="50" w:after="120" w:afterLines="50" w:line="360" w:lineRule="auto"/>
        <w:jc w:val="center"/>
        <w:rPr>
          <w:rFonts w:hint="eastAsia"/>
          <w:b/>
          <w:sz w:val="32"/>
          <w:szCs w:val="32"/>
        </w:rPr>
      </w:pPr>
    </w:p>
    <w:p>
      <w:pPr>
        <w:spacing w:before="120" w:beforeLines="50" w:after="120" w:afterLines="50" w:line="360" w:lineRule="auto"/>
        <w:jc w:val="center"/>
        <w:rPr>
          <w:rFonts w:hint="eastAsia"/>
          <w:b/>
          <w:sz w:val="32"/>
          <w:szCs w:val="32"/>
        </w:rPr>
      </w:pPr>
    </w:p>
    <w:p>
      <w:pPr>
        <w:spacing w:before="120" w:beforeLines="50" w:after="120" w:afterLines="50" w:line="360" w:lineRule="auto"/>
        <w:jc w:val="center"/>
        <w:rPr>
          <w:rFonts w:hint="eastAsia"/>
          <w:b/>
          <w:sz w:val="32"/>
          <w:szCs w:val="32"/>
        </w:rPr>
      </w:pPr>
    </w:p>
    <w:p>
      <w:pPr>
        <w:spacing w:before="120" w:beforeLines="50" w:after="120" w:afterLines="50" w:line="360" w:lineRule="auto"/>
        <w:jc w:val="center"/>
        <w:rPr>
          <w:rFonts w:ascii="宋体" w:hAnsi="宋体" w:cs="宋体"/>
          <w:b/>
          <w:bCs/>
          <w:sz w:val="52"/>
          <w:szCs w:val="52"/>
        </w:rPr>
      </w:pPr>
      <w:r>
        <w:rPr>
          <w:rFonts w:hint="eastAsia" w:ascii="宋体" w:hAnsi="宋体" w:cs="宋体"/>
          <w:b/>
          <w:bCs/>
          <w:sz w:val="52"/>
          <w:szCs w:val="52"/>
          <w:lang w:eastAsia="zh-CN"/>
        </w:rPr>
        <w:t>友好区</w:t>
      </w:r>
      <w:r>
        <w:rPr>
          <w:rFonts w:hint="eastAsia" w:ascii="宋体" w:hAnsi="宋体" w:cs="宋体"/>
          <w:b/>
          <w:bCs/>
          <w:sz w:val="52"/>
          <w:szCs w:val="52"/>
        </w:rPr>
        <w:t>人民政府</w:t>
      </w:r>
    </w:p>
    <w:p>
      <w:pPr>
        <w:spacing w:before="120" w:beforeLines="50" w:after="120" w:afterLines="50" w:line="360" w:lineRule="auto"/>
        <w:jc w:val="center"/>
        <w:rPr>
          <w:rFonts w:hint="eastAsia" w:ascii="宋体" w:hAnsi="宋体" w:cs="宋体"/>
          <w:b/>
          <w:bCs/>
          <w:sz w:val="52"/>
          <w:szCs w:val="52"/>
          <w:highlight w:val="none"/>
        </w:rPr>
      </w:pPr>
      <w:r>
        <w:rPr>
          <w:rFonts w:hint="eastAsia" w:ascii="宋体" w:hAnsi="宋体" w:cs="宋体"/>
          <w:b/>
          <w:bCs/>
          <w:sz w:val="52"/>
          <w:szCs w:val="52"/>
          <w:highlight w:val="none"/>
        </w:rPr>
        <w:t>二0二0年</w:t>
      </w:r>
      <w:r>
        <w:rPr>
          <w:rFonts w:hint="eastAsia" w:ascii="宋体" w:hAnsi="宋体" w:cs="宋体"/>
          <w:b/>
          <w:bCs/>
          <w:sz w:val="52"/>
          <w:szCs w:val="52"/>
          <w:highlight w:val="none"/>
          <w:lang w:val="en-US" w:eastAsia="zh-CN"/>
        </w:rPr>
        <w:t>六</w:t>
      </w:r>
      <w:r>
        <w:rPr>
          <w:rFonts w:hint="eastAsia" w:ascii="宋体" w:hAnsi="宋体" w:cs="宋体"/>
          <w:b/>
          <w:bCs/>
          <w:sz w:val="52"/>
          <w:szCs w:val="52"/>
          <w:highlight w:val="none"/>
        </w:rPr>
        <w:t>月</w:t>
      </w:r>
    </w:p>
    <w:p>
      <w:pPr>
        <w:spacing w:before="120" w:beforeLines="50" w:after="120" w:afterLines="50" w:line="360" w:lineRule="auto"/>
        <w:jc w:val="center"/>
        <w:rPr>
          <w:rFonts w:hint="eastAsia"/>
          <w:b/>
          <w:sz w:val="32"/>
          <w:szCs w:val="32"/>
        </w:rPr>
      </w:pPr>
    </w:p>
    <w:p>
      <w:pPr>
        <w:spacing w:before="120" w:beforeLines="50" w:after="120" w:afterLines="50" w:line="360" w:lineRule="auto"/>
        <w:ind w:firstLine="16705" w:firstLineChars="3200"/>
        <w:rPr>
          <w:rFonts w:hint="eastAsia" w:ascii="楷体" w:hAnsi="楷体" w:eastAsia="楷体" w:cs="楷体"/>
          <w:b/>
          <w:i/>
          <w:iCs/>
          <w:sz w:val="52"/>
          <w:szCs w:val="52"/>
          <w:u w:val="single"/>
        </w:rPr>
      </w:pPr>
      <w:r>
        <w:rPr>
          <w:rFonts w:hint="eastAsia" w:ascii="楷体" w:hAnsi="楷体" w:eastAsia="楷体" w:cs="楷体"/>
          <w:b/>
          <w:i/>
          <w:iCs/>
          <w:sz w:val="52"/>
          <w:szCs w:val="52"/>
          <w:u w:val="single"/>
        </w:rPr>
        <w:t>第一部分  说明书</w:t>
      </w:r>
    </w:p>
    <w:p>
      <w:pPr>
        <w:spacing w:before="120" w:beforeLines="50" w:after="120" w:afterLines="50" w:line="360" w:lineRule="auto"/>
        <w:jc w:val="right"/>
        <w:rPr>
          <w:rFonts w:hint="eastAsia" w:ascii="楷体" w:hAnsi="楷体" w:eastAsia="楷体" w:cs="楷体"/>
          <w:b/>
          <w:sz w:val="32"/>
          <w:szCs w:val="32"/>
        </w:rPr>
      </w:pPr>
      <w:r>
        <w:rPr>
          <w:rFonts w:hint="eastAsia" w:ascii="楷体" w:hAnsi="楷体" w:eastAsia="楷体" w:cs="楷体"/>
          <w:sz w:val="32"/>
          <w:szCs w:val="32"/>
          <w:lang w:eastAsia="zh-CN"/>
        </w:rPr>
        <w:t>友好区农村生活污水治理专项规划</w:t>
      </w:r>
      <w:r>
        <w:rPr>
          <w:rFonts w:hint="eastAsia" w:ascii="楷体" w:hAnsi="楷体" w:eastAsia="楷体" w:cs="楷体"/>
          <w:sz w:val="32"/>
          <w:szCs w:val="32"/>
        </w:rPr>
        <w:t>（2020-2030）</w:t>
      </w:r>
    </w:p>
    <w:p>
      <w:pPr>
        <w:spacing w:before="120" w:beforeLines="50" w:after="120" w:afterLines="50" w:line="360" w:lineRule="auto"/>
        <w:jc w:val="center"/>
        <w:rPr>
          <w:rFonts w:hint="eastAsia"/>
          <w:b/>
          <w:sz w:val="32"/>
          <w:szCs w:val="32"/>
        </w:rPr>
      </w:pPr>
    </w:p>
    <w:p>
      <w:pPr>
        <w:spacing w:before="120" w:beforeLines="50" w:after="120" w:afterLines="50" w:line="360" w:lineRule="auto"/>
        <w:jc w:val="center"/>
        <w:rPr>
          <w:rFonts w:hint="eastAsia"/>
          <w:b/>
          <w:sz w:val="32"/>
          <w:szCs w:val="32"/>
        </w:rPr>
        <w:sectPr>
          <w:pgSz w:w="23814" w:h="16840" w:orient="landscape"/>
          <w:pgMar w:top="1797" w:right="1440" w:bottom="1797" w:left="1440" w:header="851" w:footer="992" w:gutter="0"/>
          <w:pgBorders>
            <w:top w:val="none" w:sz="0" w:space="0"/>
            <w:left w:val="none" w:sz="0" w:space="0"/>
            <w:bottom w:val="none" w:sz="0" w:space="0"/>
            <w:right w:val="none" w:sz="0" w:space="0"/>
          </w:pgBorders>
          <w:pgNumType w:start="1"/>
          <w:cols w:space="720" w:num="1"/>
          <w:docGrid w:linePitch="312" w:charSpace="0"/>
        </w:sectPr>
      </w:pPr>
    </w:p>
    <w:p>
      <w:pPr>
        <w:spacing w:before="0" w:beforeLines="0" w:after="0" w:afterLines="0" w:line="240" w:lineRule="auto"/>
        <w:ind w:left="0" w:leftChars="0" w:right="0" w:rightChars="0" w:firstLine="0" w:firstLineChars="0"/>
        <w:jc w:val="center"/>
      </w:pPr>
      <w:bookmarkStart w:id="0" w:name="_Toc2963_WPSOffice_Level1"/>
      <w:bookmarkStart w:id="1" w:name="_Toc31981_WPSOffice_Level1"/>
      <w:bookmarkStart w:id="2" w:name="_Toc17713"/>
      <w:bookmarkStart w:id="3" w:name="_Toc23901_WPSOffice_Level1"/>
      <w:r>
        <w:rPr>
          <w:rFonts w:ascii="宋体" w:hAnsi="宋体" w:eastAsia="宋体"/>
          <w:sz w:val="44"/>
          <w:szCs w:val="44"/>
        </w:rPr>
        <w:t>目录</w:t>
      </w:r>
    </w:p>
    <w:p>
      <w:pPr>
        <w:pStyle w:val="30"/>
        <w:tabs>
          <w:tab w:val="right" w:leader="dot" w:pos="10276"/>
        </w:tabs>
        <w:rPr>
          <w:rFonts w:hint="default" w:ascii="Times New Roman" w:hAnsi="Times New Roman" w:cs="Times New Roman"/>
        </w:rPr>
      </w:pPr>
      <w:r>
        <w:rPr>
          <w:rFonts w:hint="default" w:ascii="Times New Roman" w:hAnsi="Times New Roman" w:cs="Times New Roman"/>
          <w:b w:val="0"/>
          <w:sz w:val="28"/>
          <w:szCs w:val="28"/>
        </w:rPr>
        <w:fldChar w:fldCharType="begin"/>
      </w:r>
      <w:r>
        <w:rPr>
          <w:rFonts w:hint="default" w:ascii="Times New Roman" w:hAnsi="Times New Roman" w:cs="Times New Roman"/>
          <w:b w:val="0"/>
          <w:sz w:val="28"/>
          <w:szCs w:val="28"/>
        </w:rPr>
        <w:instrText xml:space="preserve">TOC \o "1-2" \h \u </w:instrText>
      </w:r>
      <w:r>
        <w:rPr>
          <w:rFonts w:hint="default" w:ascii="Times New Roman" w:hAnsi="Times New Roman" w:cs="Times New Roman"/>
          <w:b w:val="0"/>
          <w:sz w:val="28"/>
          <w:szCs w:val="28"/>
        </w:rPr>
        <w:fldChar w:fldCharType="separate"/>
      </w: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_Toc800 </w:instrText>
      </w:r>
      <w:r>
        <w:rPr>
          <w:rFonts w:hint="default" w:ascii="Times New Roman" w:hAnsi="Times New Roman" w:cs="Times New Roman"/>
          <w:szCs w:val="28"/>
        </w:rPr>
        <w:fldChar w:fldCharType="separate"/>
      </w:r>
      <w:r>
        <w:rPr>
          <w:rFonts w:hint="default" w:ascii="Times New Roman" w:hAnsi="Times New Roman" w:cs="Times New Roman"/>
        </w:rPr>
        <w:t>第一章 总论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_Toc800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szCs w:val="28"/>
        </w:rPr>
        <w:fldChar w:fldCharType="end"/>
      </w:r>
    </w:p>
    <w:p>
      <w:pPr>
        <w:pStyle w:val="34"/>
        <w:tabs>
          <w:tab w:val="right" w:leader="dot" w:pos="10276"/>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_Toc19172 </w:instrText>
      </w:r>
      <w:r>
        <w:rPr>
          <w:rFonts w:hint="default" w:ascii="Times New Roman" w:hAnsi="Times New Roman" w:cs="Times New Roman"/>
          <w:szCs w:val="28"/>
        </w:rPr>
        <w:fldChar w:fldCharType="separate"/>
      </w:r>
      <w:r>
        <w:rPr>
          <w:rFonts w:hint="default" w:ascii="Times New Roman" w:hAnsi="Times New Roman" w:cs="Times New Roman"/>
        </w:rPr>
        <w:t>1.1规划目的及背景</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_Toc19172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szCs w:val="28"/>
        </w:rPr>
        <w:fldChar w:fldCharType="end"/>
      </w:r>
    </w:p>
    <w:p>
      <w:pPr>
        <w:pStyle w:val="34"/>
        <w:tabs>
          <w:tab w:val="right" w:leader="dot" w:pos="10276"/>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_Toc18796 </w:instrText>
      </w:r>
      <w:r>
        <w:rPr>
          <w:rFonts w:hint="default" w:ascii="Times New Roman" w:hAnsi="Times New Roman" w:cs="Times New Roman"/>
          <w:szCs w:val="28"/>
        </w:rPr>
        <w:fldChar w:fldCharType="separate"/>
      </w:r>
      <w:r>
        <w:rPr>
          <w:rFonts w:hint="default" w:ascii="Times New Roman" w:hAnsi="Times New Roman" w:cs="Times New Roman"/>
        </w:rPr>
        <w:t>1.2规划指导思想</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_Toc18796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szCs w:val="28"/>
        </w:rPr>
        <w:fldChar w:fldCharType="end"/>
      </w:r>
    </w:p>
    <w:p>
      <w:pPr>
        <w:pStyle w:val="34"/>
        <w:tabs>
          <w:tab w:val="right" w:leader="dot" w:pos="10276"/>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_Toc5899 </w:instrText>
      </w:r>
      <w:r>
        <w:rPr>
          <w:rFonts w:hint="default" w:ascii="Times New Roman" w:hAnsi="Times New Roman" w:cs="Times New Roman"/>
          <w:szCs w:val="28"/>
        </w:rPr>
        <w:fldChar w:fldCharType="separate"/>
      </w:r>
      <w:r>
        <w:rPr>
          <w:rFonts w:hint="default" w:ascii="Times New Roman" w:hAnsi="Times New Roman" w:cs="Times New Roman"/>
        </w:rPr>
        <w:t>1.3规划原则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_Toc5899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szCs w:val="28"/>
        </w:rPr>
        <w:fldChar w:fldCharType="end"/>
      </w:r>
    </w:p>
    <w:p>
      <w:pPr>
        <w:pStyle w:val="34"/>
        <w:tabs>
          <w:tab w:val="right" w:leader="dot" w:pos="10276"/>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_Toc29570 </w:instrText>
      </w:r>
      <w:r>
        <w:rPr>
          <w:rFonts w:hint="default" w:ascii="Times New Roman" w:hAnsi="Times New Roman" w:cs="Times New Roman"/>
          <w:szCs w:val="28"/>
        </w:rPr>
        <w:fldChar w:fldCharType="separate"/>
      </w:r>
      <w:r>
        <w:rPr>
          <w:rFonts w:hint="default" w:ascii="Times New Roman" w:hAnsi="Times New Roman" w:cs="Times New Roman"/>
        </w:rPr>
        <w:t>1.4规划依据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_Toc29570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szCs w:val="28"/>
        </w:rPr>
        <w:fldChar w:fldCharType="end"/>
      </w:r>
    </w:p>
    <w:p>
      <w:pPr>
        <w:pStyle w:val="34"/>
        <w:tabs>
          <w:tab w:val="right" w:leader="dot" w:pos="10276"/>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_Toc21985 </w:instrText>
      </w:r>
      <w:r>
        <w:rPr>
          <w:rFonts w:hint="default" w:ascii="Times New Roman" w:hAnsi="Times New Roman" w:cs="Times New Roman"/>
          <w:szCs w:val="28"/>
        </w:rPr>
        <w:fldChar w:fldCharType="separate"/>
      </w:r>
      <w:r>
        <w:rPr>
          <w:rFonts w:hint="default" w:ascii="Times New Roman" w:hAnsi="Times New Roman" w:cs="Times New Roman"/>
        </w:rPr>
        <w:t>1.5规划范围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_Toc21985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szCs w:val="28"/>
        </w:rPr>
        <w:fldChar w:fldCharType="end"/>
      </w:r>
    </w:p>
    <w:p>
      <w:pPr>
        <w:pStyle w:val="34"/>
        <w:tabs>
          <w:tab w:val="right" w:leader="dot" w:pos="10276"/>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_Toc24575 </w:instrText>
      </w:r>
      <w:r>
        <w:rPr>
          <w:rFonts w:hint="default" w:ascii="Times New Roman" w:hAnsi="Times New Roman" w:cs="Times New Roman"/>
          <w:szCs w:val="28"/>
        </w:rPr>
        <w:fldChar w:fldCharType="separate"/>
      </w:r>
      <w:r>
        <w:rPr>
          <w:rFonts w:hint="default" w:ascii="Times New Roman" w:hAnsi="Times New Roman" w:cs="Times New Roman"/>
          <w:highlight w:val="none"/>
        </w:rPr>
        <w:t>1.6规划期限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_Toc24575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cs="Times New Roman"/>
          <w:szCs w:val="28"/>
        </w:rPr>
        <w:fldChar w:fldCharType="end"/>
      </w:r>
    </w:p>
    <w:p>
      <w:pPr>
        <w:pStyle w:val="34"/>
        <w:tabs>
          <w:tab w:val="right" w:leader="dot" w:pos="10276"/>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_Toc2279 </w:instrText>
      </w:r>
      <w:r>
        <w:rPr>
          <w:rFonts w:hint="default" w:ascii="Times New Roman" w:hAnsi="Times New Roman" w:cs="Times New Roman"/>
          <w:szCs w:val="28"/>
        </w:rPr>
        <w:fldChar w:fldCharType="separate"/>
      </w:r>
      <w:r>
        <w:rPr>
          <w:rFonts w:hint="default" w:ascii="Times New Roman" w:hAnsi="Times New Roman" w:cs="Times New Roman"/>
          <w:highlight w:val="none"/>
        </w:rPr>
        <w:t>1.7规划目标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_Toc2279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cs="Times New Roman"/>
          <w:szCs w:val="28"/>
        </w:rPr>
        <w:fldChar w:fldCharType="end"/>
      </w:r>
    </w:p>
    <w:p>
      <w:pPr>
        <w:pStyle w:val="30"/>
        <w:tabs>
          <w:tab w:val="right" w:leader="dot" w:pos="10276"/>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_Toc26520 </w:instrText>
      </w:r>
      <w:r>
        <w:rPr>
          <w:rFonts w:hint="default" w:ascii="Times New Roman" w:hAnsi="Times New Roman" w:cs="Times New Roman"/>
          <w:szCs w:val="28"/>
        </w:rPr>
        <w:fldChar w:fldCharType="separate"/>
      </w:r>
      <w:r>
        <w:rPr>
          <w:rFonts w:hint="default" w:ascii="Times New Roman" w:hAnsi="Times New Roman" w:cs="Times New Roman"/>
          <w:highlight w:val="none"/>
        </w:rPr>
        <w:t>第二章 区域概况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_Toc26520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szCs w:val="28"/>
        </w:rPr>
        <w:fldChar w:fldCharType="end"/>
      </w:r>
    </w:p>
    <w:p>
      <w:pPr>
        <w:pStyle w:val="34"/>
        <w:tabs>
          <w:tab w:val="right" w:leader="dot" w:pos="10276"/>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_Toc29111 </w:instrText>
      </w:r>
      <w:r>
        <w:rPr>
          <w:rFonts w:hint="default" w:ascii="Times New Roman" w:hAnsi="Times New Roman" w:cs="Times New Roman"/>
          <w:szCs w:val="28"/>
        </w:rPr>
        <w:fldChar w:fldCharType="separate"/>
      </w:r>
      <w:r>
        <w:rPr>
          <w:rFonts w:hint="default" w:ascii="Times New Roman" w:hAnsi="Times New Roman" w:cs="Times New Roman"/>
          <w:highlight w:val="none"/>
        </w:rPr>
        <w:t>2.1自然条件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_Toc29111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szCs w:val="28"/>
        </w:rPr>
        <w:fldChar w:fldCharType="end"/>
      </w:r>
    </w:p>
    <w:p>
      <w:pPr>
        <w:pStyle w:val="34"/>
        <w:tabs>
          <w:tab w:val="right" w:leader="dot" w:pos="10276"/>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_Toc2419 </w:instrText>
      </w:r>
      <w:r>
        <w:rPr>
          <w:rFonts w:hint="default" w:ascii="Times New Roman" w:hAnsi="Times New Roman" w:cs="Times New Roman"/>
          <w:szCs w:val="28"/>
        </w:rPr>
        <w:fldChar w:fldCharType="separate"/>
      </w:r>
      <w:r>
        <w:rPr>
          <w:rFonts w:hint="default" w:ascii="Times New Roman" w:hAnsi="Times New Roman" w:cs="Times New Roman"/>
        </w:rPr>
        <w:t>2.2社会经济状况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_Toc2419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cs="Times New Roman"/>
          <w:szCs w:val="28"/>
        </w:rPr>
        <w:fldChar w:fldCharType="end"/>
      </w:r>
    </w:p>
    <w:p>
      <w:pPr>
        <w:pStyle w:val="34"/>
        <w:tabs>
          <w:tab w:val="right" w:leader="dot" w:pos="10276"/>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_Toc26084 </w:instrText>
      </w:r>
      <w:r>
        <w:rPr>
          <w:rFonts w:hint="default" w:ascii="Times New Roman" w:hAnsi="Times New Roman" w:cs="Times New Roman"/>
          <w:szCs w:val="28"/>
        </w:rPr>
        <w:fldChar w:fldCharType="separate"/>
      </w:r>
      <w:r>
        <w:rPr>
          <w:rFonts w:hint="default" w:ascii="Times New Roman" w:hAnsi="Times New Roman" w:cs="Times New Roman"/>
        </w:rPr>
        <w:t>2.3生态环境保护状况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_Toc26084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cs="Times New Roman"/>
          <w:szCs w:val="28"/>
        </w:rPr>
        <w:fldChar w:fldCharType="end"/>
      </w:r>
    </w:p>
    <w:p>
      <w:pPr>
        <w:pStyle w:val="34"/>
        <w:tabs>
          <w:tab w:val="right" w:leader="dot" w:pos="10276"/>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_Toc21456 </w:instrText>
      </w:r>
      <w:r>
        <w:rPr>
          <w:rFonts w:hint="default" w:ascii="Times New Roman" w:hAnsi="Times New Roman" w:cs="Times New Roman"/>
          <w:szCs w:val="28"/>
        </w:rPr>
        <w:fldChar w:fldCharType="separate"/>
      </w:r>
      <w:r>
        <w:rPr>
          <w:rFonts w:hint="default" w:ascii="Times New Roman" w:hAnsi="Times New Roman" w:cs="Times New Roman"/>
          <w:lang w:val="en-US" w:eastAsia="zh-CN"/>
        </w:rPr>
        <w:t>2.4重点村庄统计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_Toc21456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cs="Times New Roman"/>
          <w:szCs w:val="28"/>
        </w:rPr>
        <w:fldChar w:fldCharType="end"/>
      </w:r>
    </w:p>
    <w:p>
      <w:pPr>
        <w:pStyle w:val="30"/>
        <w:tabs>
          <w:tab w:val="right" w:leader="dot" w:pos="10276"/>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_Toc30146 </w:instrText>
      </w:r>
      <w:r>
        <w:rPr>
          <w:rFonts w:hint="default" w:ascii="Times New Roman" w:hAnsi="Times New Roman" w:cs="Times New Roman"/>
          <w:szCs w:val="28"/>
        </w:rPr>
        <w:fldChar w:fldCharType="separate"/>
      </w:r>
      <w:r>
        <w:rPr>
          <w:rFonts w:hint="default" w:ascii="Times New Roman" w:hAnsi="Times New Roman" w:cs="Times New Roman"/>
        </w:rPr>
        <w:t>第三章 污染源分析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_Toc30146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cs="Times New Roman"/>
          <w:szCs w:val="28"/>
        </w:rPr>
        <w:fldChar w:fldCharType="end"/>
      </w:r>
    </w:p>
    <w:p>
      <w:pPr>
        <w:pStyle w:val="34"/>
        <w:tabs>
          <w:tab w:val="right" w:leader="dot" w:pos="10276"/>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_Toc11390 </w:instrText>
      </w:r>
      <w:r>
        <w:rPr>
          <w:rFonts w:hint="default" w:ascii="Times New Roman" w:hAnsi="Times New Roman" w:cs="Times New Roman"/>
          <w:szCs w:val="28"/>
        </w:rPr>
        <w:fldChar w:fldCharType="separate"/>
      </w:r>
      <w:r>
        <w:rPr>
          <w:rFonts w:hint="default" w:ascii="Times New Roman" w:hAnsi="Times New Roman" w:cs="Times New Roman"/>
        </w:rPr>
        <w:t>3.1用水及排水体制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_Toc11390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cs="Times New Roman"/>
          <w:szCs w:val="28"/>
        </w:rPr>
        <w:fldChar w:fldCharType="end"/>
      </w:r>
    </w:p>
    <w:p>
      <w:pPr>
        <w:pStyle w:val="34"/>
        <w:tabs>
          <w:tab w:val="right" w:leader="dot" w:pos="10276"/>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_Toc21377 </w:instrText>
      </w:r>
      <w:r>
        <w:rPr>
          <w:rFonts w:hint="default" w:ascii="Times New Roman" w:hAnsi="Times New Roman" w:cs="Times New Roman"/>
          <w:szCs w:val="28"/>
        </w:rPr>
        <w:fldChar w:fldCharType="separate"/>
      </w:r>
      <w:r>
        <w:rPr>
          <w:rFonts w:hint="default" w:ascii="Times New Roman" w:hAnsi="Times New Roman" w:cs="Times New Roman"/>
        </w:rPr>
        <w:t>3.2水质水量预测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_Toc21377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cs="Times New Roman"/>
          <w:szCs w:val="28"/>
        </w:rPr>
        <w:fldChar w:fldCharType="end"/>
      </w:r>
    </w:p>
    <w:p>
      <w:pPr>
        <w:pStyle w:val="30"/>
        <w:tabs>
          <w:tab w:val="right" w:leader="dot" w:pos="10276"/>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_Toc23046 </w:instrText>
      </w:r>
      <w:r>
        <w:rPr>
          <w:rFonts w:hint="default" w:ascii="Times New Roman" w:hAnsi="Times New Roman" w:cs="Times New Roman"/>
          <w:szCs w:val="28"/>
        </w:rPr>
        <w:fldChar w:fldCharType="separate"/>
      </w:r>
      <w:r>
        <w:rPr>
          <w:rFonts w:hint="default" w:ascii="Times New Roman" w:hAnsi="Times New Roman" w:cs="Times New Roman"/>
        </w:rPr>
        <w:t>第四章 规划方案</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_Toc23046 </w:instrText>
      </w:r>
      <w:r>
        <w:rPr>
          <w:rFonts w:hint="default" w:ascii="Times New Roman" w:hAnsi="Times New Roman" w:cs="Times New Roman"/>
        </w:rPr>
        <w:fldChar w:fldCharType="separate"/>
      </w:r>
      <w:r>
        <w:rPr>
          <w:rFonts w:hint="default" w:ascii="Times New Roman" w:hAnsi="Times New Roman" w:cs="Times New Roman"/>
        </w:rPr>
        <w:t>12</w:t>
      </w:r>
      <w:r>
        <w:rPr>
          <w:rFonts w:hint="default" w:ascii="Times New Roman" w:hAnsi="Times New Roman" w:cs="Times New Roman"/>
        </w:rPr>
        <w:fldChar w:fldCharType="end"/>
      </w:r>
      <w:r>
        <w:rPr>
          <w:rFonts w:hint="default" w:ascii="Times New Roman" w:hAnsi="Times New Roman" w:cs="Times New Roman"/>
          <w:szCs w:val="28"/>
        </w:rPr>
        <w:fldChar w:fldCharType="end"/>
      </w:r>
    </w:p>
    <w:p>
      <w:pPr>
        <w:pStyle w:val="34"/>
        <w:tabs>
          <w:tab w:val="right" w:leader="dot" w:pos="10276"/>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_Toc31801 </w:instrText>
      </w:r>
      <w:r>
        <w:rPr>
          <w:rFonts w:hint="default" w:ascii="Times New Roman" w:hAnsi="Times New Roman" w:cs="Times New Roman"/>
          <w:szCs w:val="28"/>
        </w:rPr>
        <w:fldChar w:fldCharType="separate"/>
      </w:r>
      <w:r>
        <w:rPr>
          <w:rFonts w:hint="default" w:ascii="Times New Roman" w:hAnsi="Times New Roman" w:cs="Times New Roman"/>
        </w:rPr>
        <w:t>4.1治理模式</w:t>
      </w:r>
      <w:r>
        <w:rPr>
          <w:rFonts w:hint="default" w:ascii="Times New Roman" w:hAnsi="Times New Roman" w:cs="Times New Roman"/>
          <w:lang w:val="en-US" w:eastAsia="zh-CN"/>
        </w:rPr>
        <w:t>选取</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_Toc31801 </w:instrText>
      </w:r>
      <w:r>
        <w:rPr>
          <w:rFonts w:hint="default" w:ascii="Times New Roman" w:hAnsi="Times New Roman" w:cs="Times New Roman"/>
        </w:rPr>
        <w:fldChar w:fldCharType="separate"/>
      </w:r>
      <w:r>
        <w:rPr>
          <w:rFonts w:hint="default" w:ascii="Times New Roman" w:hAnsi="Times New Roman" w:cs="Times New Roman"/>
        </w:rPr>
        <w:t>12</w:t>
      </w:r>
      <w:r>
        <w:rPr>
          <w:rFonts w:hint="default" w:ascii="Times New Roman" w:hAnsi="Times New Roman" w:cs="Times New Roman"/>
        </w:rPr>
        <w:fldChar w:fldCharType="end"/>
      </w:r>
      <w:r>
        <w:rPr>
          <w:rFonts w:hint="default" w:ascii="Times New Roman" w:hAnsi="Times New Roman" w:cs="Times New Roman"/>
          <w:szCs w:val="28"/>
        </w:rPr>
        <w:fldChar w:fldCharType="end"/>
      </w:r>
    </w:p>
    <w:p>
      <w:pPr>
        <w:pStyle w:val="34"/>
        <w:tabs>
          <w:tab w:val="right" w:leader="dot" w:pos="10276"/>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_Toc15113 </w:instrText>
      </w:r>
      <w:r>
        <w:rPr>
          <w:rFonts w:hint="default" w:ascii="Times New Roman" w:hAnsi="Times New Roman" w:cs="Times New Roman"/>
          <w:szCs w:val="28"/>
        </w:rPr>
        <w:fldChar w:fldCharType="separate"/>
      </w:r>
      <w:r>
        <w:rPr>
          <w:rFonts w:hint="default" w:ascii="Times New Roman" w:hAnsi="Times New Roman" w:cs="Times New Roman"/>
        </w:rPr>
        <w:t>4.</w:t>
      </w:r>
      <w:r>
        <w:rPr>
          <w:rFonts w:hint="default" w:ascii="Times New Roman" w:hAnsi="Times New Roman" w:cs="Times New Roman"/>
          <w:lang w:val="en-US" w:eastAsia="zh-CN"/>
        </w:rPr>
        <w:t>2</w:t>
      </w:r>
      <w:r>
        <w:rPr>
          <w:rFonts w:hint="default" w:ascii="Times New Roman" w:hAnsi="Times New Roman" w:cs="Times New Roman"/>
        </w:rPr>
        <w:t>污水</w:t>
      </w:r>
      <w:r>
        <w:rPr>
          <w:rFonts w:hint="default" w:ascii="Times New Roman" w:hAnsi="Times New Roman" w:cs="Times New Roman"/>
          <w:lang w:val="en-US" w:eastAsia="zh-CN"/>
        </w:rPr>
        <w:t>资源化利用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_Toc15113 </w:instrText>
      </w:r>
      <w:r>
        <w:rPr>
          <w:rFonts w:hint="default" w:ascii="Times New Roman" w:hAnsi="Times New Roman" w:cs="Times New Roman"/>
        </w:rPr>
        <w:fldChar w:fldCharType="separate"/>
      </w:r>
      <w:r>
        <w:rPr>
          <w:rFonts w:hint="default" w:ascii="Times New Roman" w:hAnsi="Times New Roman" w:cs="Times New Roman"/>
        </w:rPr>
        <w:t>12</w:t>
      </w:r>
      <w:r>
        <w:rPr>
          <w:rFonts w:hint="default" w:ascii="Times New Roman" w:hAnsi="Times New Roman" w:cs="Times New Roman"/>
        </w:rPr>
        <w:fldChar w:fldCharType="end"/>
      </w:r>
      <w:r>
        <w:rPr>
          <w:rFonts w:hint="default" w:ascii="Times New Roman" w:hAnsi="Times New Roman" w:cs="Times New Roman"/>
          <w:szCs w:val="28"/>
        </w:rPr>
        <w:fldChar w:fldCharType="end"/>
      </w:r>
    </w:p>
    <w:p>
      <w:pPr>
        <w:pStyle w:val="34"/>
        <w:tabs>
          <w:tab w:val="right" w:leader="dot" w:pos="10276"/>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_Toc31307 </w:instrText>
      </w:r>
      <w:r>
        <w:rPr>
          <w:rFonts w:hint="default" w:ascii="Times New Roman" w:hAnsi="Times New Roman" w:cs="Times New Roman"/>
          <w:szCs w:val="28"/>
        </w:rPr>
        <w:fldChar w:fldCharType="separate"/>
      </w:r>
      <w:r>
        <w:rPr>
          <w:rFonts w:hint="default" w:ascii="Times New Roman" w:hAnsi="Times New Roman" w:cs="Times New Roman"/>
        </w:rPr>
        <w:t>4.</w:t>
      </w:r>
      <w:r>
        <w:rPr>
          <w:rFonts w:hint="default" w:ascii="Times New Roman" w:hAnsi="Times New Roman" w:cs="Times New Roman"/>
          <w:lang w:val="en-US" w:eastAsia="zh-CN"/>
        </w:rPr>
        <w:t>3</w:t>
      </w:r>
      <w:r>
        <w:rPr>
          <w:rFonts w:hint="default" w:ascii="Times New Roman" w:hAnsi="Times New Roman" w:cs="Times New Roman"/>
        </w:rPr>
        <w:t>出水执行标准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_Toc31307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cs="Times New Roman"/>
          <w:szCs w:val="28"/>
        </w:rPr>
        <w:fldChar w:fldCharType="end"/>
      </w:r>
    </w:p>
    <w:p>
      <w:pPr>
        <w:pStyle w:val="30"/>
        <w:tabs>
          <w:tab w:val="right" w:leader="dot" w:pos="10276"/>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_Toc17825 </w:instrText>
      </w:r>
      <w:r>
        <w:rPr>
          <w:rFonts w:hint="default" w:ascii="Times New Roman" w:hAnsi="Times New Roman" w:cs="Times New Roman"/>
          <w:szCs w:val="28"/>
        </w:rPr>
        <w:fldChar w:fldCharType="separate"/>
      </w:r>
      <w:r>
        <w:rPr>
          <w:rFonts w:hint="default" w:ascii="Times New Roman" w:hAnsi="Times New Roman" w:cs="Times New Roman"/>
        </w:rPr>
        <w:t>第五章 工程内容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_Toc17825 </w:instrText>
      </w:r>
      <w:r>
        <w:rPr>
          <w:rFonts w:hint="default" w:ascii="Times New Roman" w:hAnsi="Times New Roman" w:cs="Times New Roman"/>
        </w:rPr>
        <w:fldChar w:fldCharType="separate"/>
      </w:r>
      <w:r>
        <w:rPr>
          <w:rFonts w:hint="default" w:ascii="Times New Roman" w:hAnsi="Times New Roman" w:cs="Times New Roman"/>
        </w:rPr>
        <w:t>14</w:t>
      </w:r>
      <w:r>
        <w:rPr>
          <w:rFonts w:hint="default" w:ascii="Times New Roman" w:hAnsi="Times New Roman" w:cs="Times New Roman"/>
        </w:rPr>
        <w:fldChar w:fldCharType="end"/>
      </w:r>
      <w:r>
        <w:rPr>
          <w:rFonts w:hint="default" w:ascii="Times New Roman" w:hAnsi="Times New Roman" w:cs="Times New Roman"/>
          <w:szCs w:val="28"/>
        </w:rPr>
        <w:fldChar w:fldCharType="end"/>
      </w:r>
    </w:p>
    <w:p>
      <w:pPr>
        <w:pStyle w:val="34"/>
        <w:tabs>
          <w:tab w:val="right" w:leader="dot" w:pos="10276"/>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_Toc5051 </w:instrText>
      </w:r>
      <w:r>
        <w:rPr>
          <w:rFonts w:hint="default" w:ascii="Times New Roman" w:hAnsi="Times New Roman" w:cs="Times New Roman"/>
          <w:szCs w:val="28"/>
        </w:rPr>
        <w:fldChar w:fldCharType="separate"/>
      </w:r>
      <w:r>
        <w:rPr>
          <w:rFonts w:hint="default" w:ascii="Times New Roman" w:hAnsi="Times New Roman" w:cs="Times New Roman"/>
        </w:rPr>
        <w:t>5.1</w:t>
      </w:r>
      <w:r>
        <w:rPr>
          <w:rFonts w:hint="default" w:ascii="Times New Roman" w:hAnsi="Times New Roman" w:cs="Times New Roman"/>
          <w:lang w:val="en-US" w:eastAsia="zh-CN"/>
        </w:rPr>
        <w:t>工程内容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_Toc5051 </w:instrText>
      </w:r>
      <w:r>
        <w:rPr>
          <w:rFonts w:hint="default" w:ascii="Times New Roman" w:hAnsi="Times New Roman" w:cs="Times New Roman"/>
        </w:rPr>
        <w:fldChar w:fldCharType="separate"/>
      </w:r>
      <w:r>
        <w:rPr>
          <w:rFonts w:hint="default" w:ascii="Times New Roman" w:hAnsi="Times New Roman" w:cs="Times New Roman"/>
        </w:rPr>
        <w:t>14</w:t>
      </w:r>
      <w:r>
        <w:rPr>
          <w:rFonts w:hint="default" w:ascii="Times New Roman" w:hAnsi="Times New Roman" w:cs="Times New Roman"/>
        </w:rPr>
        <w:fldChar w:fldCharType="end"/>
      </w:r>
      <w:r>
        <w:rPr>
          <w:rFonts w:hint="default" w:ascii="Times New Roman" w:hAnsi="Times New Roman" w:cs="Times New Roman"/>
          <w:szCs w:val="28"/>
        </w:rPr>
        <w:fldChar w:fldCharType="end"/>
      </w:r>
    </w:p>
    <w:p>
      <w:pPr>
        <w:pStyle w:val="34"/>
        <w:tabs>
          <w:tab w:val="right" w:leader="dot" w:pos="10276"/>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_Toc30412 </w:instrText>
      </w:r>
      <w:r>
        <w:rPr>
          <w:rFonts w:hint="default" w:ascii="Times New Roman" w:hAnsi="Times New Roman" w:cs="Times New Roman"/>
          <w:szCs w:val="28"/>
        </w:rPr>
        <w:fldChar w:fldCharType="separate"/>
      </w:r>
      <w:r>
        <w:rPr>
          <w:rFonts w:hint="default" w:ascii="Times New Roman" w:hAnsi="Times New Roman" w:cs="Times New Roman"/>
        </w:rPr>
        <w:t>5.</w:t>
      </w:r>
      <w:r>
        <w:rPr>
          <w:rFonts w:hint="default" w:ascii="Times New Roman" w:hAnsi="Times New Roman" w:cs="Times New Roman"/>
          <w:lang w:val="en-US" w:eastAsia="zh-CN"/>
        </w:rPr>
        <w:t>2</w:t>
      </w:r>
      <w:r>
        <w:rPr>
          <w:rFonts w:hint="default" w:ascii="Times New Roman" w:hAnsi="Times New Roman" w:cs="Times New Roman"/>
        </w:rPr>
        <w:t>工程</w:t>
      </w:r>
      <w:r>
        <w:rPr>
          <w:rFonts w:hint="default" w:ascii="Times New Roman" w:hAnsi="Times New Roman" w:cs="Times New Roman"/>
          <w:lang w:val="en-US" w:eastAsia="zh-CN"/>
        </w:rPr>
        <w:t>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_Toc30412 </w:instrText>
      </w:r>
      <w:r>
        <w:rPr>
          <w:rFonts w:hint="default" w:ascii="Times New Roman" w:hAnsi="Times New Roman" w:cs="Times New Roman"/>
        </w:rPr>
        <w:fldChar w:fldCharType="separate"/>
      </w:r>
      <w:r>
        <w:rPr>
          <w:rFonts w:hint="default" w:ascii="Times New Roman" w:hAnsi="Times New Roman" w:cs="Times New Roman"/>
        </w:rPr>
        <w:t>14</w:t>
      </w:r>
      <w:r>
        <w:rPr>
          <w:rFonts w:hint="default" w:ascii="Times New Roman" w:hAnsi="Times New Roman" w:cs="Times New Roman"/>
        </w:rPr>
        <w:fldChar w:fldCharType="end"/>
      </w:r>
      <w:r>
        <w:rPr>
          <w:rFonts w:hint="default" w:ascii="Times New Roman" w:hAnsi="Times New Roman" w:cs="Times New Roman"/>
          <w:szCs w:val="28"/>
        </w:rPr>
        <w:fldChar w:fldCharType="end"/>
      </w:r>
    </w:p>
    <w:p>
      <w:pPr>
        <w:pStyle w:val="30"/>
        <w:tabs>
          <w:tab w:val="right" w:leader="dot" w:pos="10276"/>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_Toc3186 </w:instrText>
      </w:r>
      <w:r>
        <w:rPr>
          <w:rFonts w:hint="default" w:ascii="Times New Roman" w:hAnsi="Times New Roman" w:cs="Times New Roman"/>
          <w:szCs w:val="28"/>
        </w:rPr>
        <w:fldChar w:fldCharType="separate"/>
      </w:r>
      <w:r>
        <w:rPr>
          <w:rFonts w:hint="default" w:ascii="Times New Roman" w:hAnsi="Times New Roman" w:cs="Times New Roman"/>
        </w:rPr>
        <w:t>第六章 分期建设规划</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_Toc3186 </w:instrText>
      </w:r>
      <w:r>
        <w:rPr>
          <w:rFonts w:hint="default" w:ascii="Times New Roman" w:hAnsi="Times New Roman" w:cs="Times New Roman"/>
        </w:rPr>
        <w:fldChar w:fldCharType="separate"/>
      </w:r>
      <w:r>
        <w:rPr>
          <w:rFonts w:hint="default" w:ascii="Times New Roman" w:hAnsi="Times New Roman" w:cs="Times New Roman"/>
        </w:rPr>
        <w:t>15</w:t>
      </w:r>
      <w:r>
        <w:rPr>
          <w:rFonts w:hint="default" w:ascii="Times New Roman" w:hAnsi="Times New Roman" w:cs="Times New Roman"/>
        </w:rPr>
        <w:fldChar w:fldCharType="end"/>
      </w:r>
      <w:r>
        <w:rPr>
          <w:rFonts w:hint="default" w:ascii="Times New Roman" w:hAnsi="Times New Roman" w:cs="Times New Roman"/>
          <w:szCs w:val="28"/>
        </w:rPr>
        <w:fldChar w:fldCharType="end"/>
      </w:r>
    </w:p>
    <w:p>
      <w:pPr>
        <w:pStyle w:val="34"/>
        <w:tabs>
          <w:tab w:val="right" w:leader="dot" w:pos="10276"/>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_Toc23076 </w:instrText>
      </w:r>
      <w:r>
        <w:rPr>
          <w:rFonts w:hint="default" w:ascii="Times New Roman" w:hAnsi="Times New Roman" w:cs="Times New Roman"/>
          <w:szCs w:val="28"/>
        </w:rPr>
        <w:fldChar w:fldCharType="separate"/>
      </w:r>
      <w:r>
        <w:rPr>
          <w:rFonts w:hint="default" w:ascii="Times New Roman" w:hAnsi="Times New Roman" w:cs="Times New Roman"/>
        </w:rPr>
        <w:t>6.1概述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_Toc23076 </w:instrText>
      </w:r>
      <w:r>
        <w:rPr>
          <w:rFonts w:hint="default" w:ascii="Times New Roman" w:hAnsi="Times New Roman" w:cs="Times New Roman"/>
        </w:rPr>
        <w:fldChar w:fldCharType="separate"/>
      </w:r>
      <w:r>
        <w:rPr>
          <w:rFonts w:hint="default" w:ascii="Times New Roman" w:hAnsi="Times New Roman" w:cs="Times New Roman"/>
        </w:rPr>
        <w:t>15</w:t>
      </w:r>
      <w:r>
        <w:rPr>
          <w:rFonts w:hint="default" w:ascii="Times New Roman" w:hAnsi="Times New Roman" w:cs="Times New Roman"/>
        </w:rPr>
        <w:fldChar w:fldCharType="end"/>
      </w:r>
      <w:r>
        <w:rPr>
          <w:rFonts w:hint="default" w:ascii="Times New Roman" w:hAnsi="Times New Roman" w:cs="Times New Roman"/>
          <w:szCs w:val="28"/>
        </w:rPr>
        <w:fldChar w:fldCharType="end"/>
      </w:r>
    </w:p>
    <w:p>
      <w:pPr>
        <w:pStyle w:val="34"/>
        <w:tabs>
          <w:tab w:val="right" w:leader="dot" w:pos="10276"/>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_Toc9103 </w:instrText>
      </w:r>
      <w:r>
        <w:rPr>
          <w:rFonts w:hint="default" w:ascii="Times New Roman" w:hAnsi="Times New Roman" w:cs="Times New Roman"/>
          <w:szCs w:val="28"/>
        </w:rPr>
        <w:fldChar w:fldCharType="separate"/>
      </w:r>
      <w:r>
        <w:rPr>
          <w:rFonts w:hint="default" w:ascii="Times New Roman" w:hAnsi="Times New Roman" w:cs="Times New Roman"/>
        </w:rPr>
        <w:t>6.2分期建设规划</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_Toc9103 </w:instrText>
      </w:r>
      <w:r>
        <w:rPr>
          <w:rFonts w:hint="default" w:ascii="Times New Roman" w:hAnsi="Times New Roman" w:cs="Times New Roman"/>
        </w:rPr>
        <w:fldChar w:fldCharType="separate"/>
      </w:r>
      <w:r>
        <w:rPr>
          <w:rFonts w:hint="default" w:ascii="Times New Roman" w:hAnsi="Times New Roman" w:cs="Times New Roman"/>
        </w:rPr>
        <w:t>15</w:t>
      </w:r>
      <w:r>
        <w:rPr>
          <w:rFonts w:hint="default" w:ascii="Times New Roman" w:hAnsi="Times New Roman" w:cs="Times New Roman"/>
        </w:rPr>
        <w:fldChar w:fldCharType="end"/>
      </w:r>
      <w:r>
        <w:rPr>
          <w:rFonts w:hint="default" w:ascii="Times New Roman" w:hAnsi="Times New Roman" w:cs="Times New Roman"/>
          <w:szCs w:val="28"/>
        </w:rPr>
        <w:fldChar w:fldCharType="end"/>
      </w:r>
    </w:p>
    <w:p>
      <w:pPr>
        <w:pStyle w:val="30"/>
        <w:tabs>
          <w:tab w:val="right" w:leader="dot" w:pos="10276"/>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_Toc21625 </w:instrText>
      </w:r>
      <w:r>
        <w:rPr>
          <w:rFonts w:hint="default" w:ascii="Times New Roman" w:hAnsi="Times New Roman" w:cs="Times New Roman"/>
          <w:szCs w:val="28"/>
        </w:rPr>
        <w:fldChar w:fldCharType="separate"/>
      </w:r>
      <w:r>
        <w:rPr>
          <w:rFonts w:hint="default" w:ascii="Times New Roman" w:hAnsi="Times New Roman" w:cs="Times New Roman"/>
        </w:rPr>
        <w:t>第七章 投资估算</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_Toc21625 </w:instrText>
      </w:r>
      <w:r>
        <w:rPr>
          <w:rFonts w:hint="default" w:ascii="Times New Roman" w:hAnsi="Times New Roman" w:cs="Times New Roman"/>
        </w:rPr>
        <w:fldChar w:fldCharType="separate"/>
      </w:r>
      <w:r>
        <w:rPr>
          <w:rFonts w:hint="default" w:ascii="Times New Roman" w:hAnsi="Times New Roman" w:cs="Times New Roman"/>
        </w:rPr>
        <w:t>16</w:t>
      </w:r>
      <w:r>
        <w:rPr>
          <w:rFonts w:hint="default" w:ascii="Times New Roman" w:hAnsi="Times New Roman" w:cs="Times New Roman"/>
        </w:rPr>
        <w:fldChar w:fldCharType="end"/>
      </w:r>
      <w:r>
        <w:rPr>
          <w:rFonts w:hint="default" w:ascii="Times New Roman" w:hAnsi="Times New Roman" w:cs="Times New Roman"/>
          <w:szCs w:val="28"/>
        </w:rPr>
        <w:fldChar w:fldCharType="end"/>
      </w:r>
    </w:p>
    <w:p>
      <w:pPr>
        <w:pStyle w:val="34"/>
        <w:tabs>
          <w:tab w:val="right" w:leader="dot" w:pos="10276"/>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_Toc27690 </w:instrText>
      </w:r>
      <w:r>
        <w:rPr>
          <w:rFonts w:hint="default" w:ascii="Times New Roman" w:hAnsi="Times New Roman" w:cs="Times New Roman"/>
          <w:szCs w:val="28"/>
        </w:rPr>
        <w:fldChar w:fldCharType="separate"/>
      </w:r>
      <w:r>
        <w:rPr>
          <w:rFonts w:hint="default" w:ascii="Times New Roman" w:hAnsi="Times New Roman" w:eastAsia="宋体" w:cs="Times New Roman"/>
          <w:szCs w:val="30"/>
          <w:lang w:bidi="en-US"/>
        </w:rPr>
        <w:t>7</w:t>
      </w:r>
      <w:r>
        <w:rPr>
          <w:rFonts w:hint="default" w:ascii="Times New Roman" w:hAnsi="Times New Roman" w:cs="Times New Roman"/>
        </w:rPr>
        <w:t>.1</w:t>
      </w:r>
      <w:r>
        <w:rPr>
          <w:rFonts w:hint="default" w:ascii="Times New Roman" w:hAnsi="Times New Roman" w:eastAsia="宋体" w:cs="Times New Roman"/>
          <w:lang w:val="en-US" w:eastAsia="zh-CN"/>
        </w:rPr>
        <w:t>编制依据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_Toc27690 </w:instrText>
      </w:r>
      <w:r>
        <w:rPr>
          <w:rFonts w:hint="default" w:ascii="Times New Roman" w:hAnsi="Times New Roman" w:cs="Times New Roman"/>
        </w:rPr>
        <w:fldChar w:fldCharType="separate"/>
      </w:r>
      <w:r>
        <w:rPr>
          <w:rFonts w:hint="default" w:ascii="Times New Roman" w:hAnsi="Times New Roman" w:cs="Times New Roman"/>
        </w:rPr>
        <w:t>16</w:t>
      </w:r>
      <w:r>
        <w:rPr>
          <w:rFonts w:hint="default" w:ascii="Times New Roman" w:hAnsi="Times New Roman" w:cs="Times New Roman"/>
        </w:rPr>
        <w:fldChar w:fldCharType="end"/>
      </w:r>
      <w:r>
        <w:rPr>
          <w:rFonts w:hint="default" w:ascii="Times New Roman" w:hAnsi="Times New Roman" w:cs="Times New Roman"/>
          <w:szCs w:val="28"/>
        </w:rPr>
        <w:fldChar w:fldCharType="end"/>
      </w:r>
    </w:p>
    <w:p>
      <w:pPr>
        <w:pStyle w:val="34"/>
        <w:tabs>
          <w:tab w:val="right" w:leader="dot" w:pos="10276"/>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_Toc28672 </w:instrText>
      </w:r>
      <w:r>
        <w:rPr>
          <w:rFonts w:hint="default" w:ascii="Times New Roman" w:hAnsi="Times New Roman" w:cs="Times New Roman"/>
          <w:szCs w:val="28"/>
        </w:rPr>
        <w:fldChar w:fldCharType="separate"/>
      </w:r>
      <w:r>
        <w:rPr>
          <w:rFonts w:hint="default" w:ascii="Times New Roman" w:hAnsi="Times New Roman" w:cs="Times New Roman"/>
        </w:rPr>
        <w:t>7.2</w:t>
      </w:r>
      <w:r>
        <w:rPr>
          <w:rFonts w:hint="default" w:ascii="Times New Roman" w:hAnsi="Times New Roman" w:cs="Times New Roman"/>
          <w:lang w:val="en-US" w:eastAsia="zh-CN"/>
        </w:rPr>
        <w:t>近期投资估算</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_Toc28672 </w:instrText>
      </w:r>
      <w:r>
        <w:rPr>
          <w:rFonts w:hint="default" w:ascii="Times New Roman" w:hAnsi="Times New Roman" w:cs="Times New Roman"/>
        </w:rPr>
        <w:fldChar w:fldCharType="separate"/>
      </w:r>
      <w:r>
        <w:rPr>
          <w:rFonts w:hint="default" w:ascii="Times New Roman" w:hAnsi="Times New Roman" w:cs="Times New Roman"/>
        </w:rPr>
        <w:t>16</w:t>
      </w:r>
      <w:r>
        <w:rPr>
          <w:rFonts w:hint="default" w:ascii="Times New Roman" w:hAnsi="Times New Roman" w:cs="Times New Roman"/>
        </w:rPr>
        <w:fldChar w:fldCharType="end"/>
      </w:r>
      <w:r>
        <w:rPr>
          <w:rFonts w:hint="default" w:ascii="Times New Roman" w:hAnsi="Times New Roman" w:cs="Times New Roman"/>
          <w:szCs w:val="28"/>
        </w:rPr>
        <w:fldChar w:fldCharType="end"/>
      </w:r>
    </w:p>
    <w:p>
      <w:pPr>
        <w:pStyle w:val="30"/>
        <w:tabs>
          <w:tab w:val="right" w:leader="dot" w:pos="10276"/>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_Toc25904 </w:instrText>
      </w:r>
      <w:r>
        <w:rPr>
          <w:rFonts w:hint="default" w:ascii="Times New Roman" w:hAnsi="Times New Roman" w:cs="Times New Roman"/>
          <w:szCs w:val="28"/>
        </w:rPr>
        <w:fldChar w:fldCharType="separate"/>
      </w:r>
      <w:r>
        <w:rPr>
          <w:rFonts w:hint="default" w:ascii="Times New Roman" w:hAnsi="Times New Roman" w:cs="Times New Roman"/>
        </w:rPr>
        <w:t>第八章 运维管理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_Toc25904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r>
        <w:rPr>
          <w:rFonts w:hint="default" w:ascii="Times New Roman" w:hAnsi="Times New Roman" w:cs="Times New Roman"/>
          <w:szCs w:val="28"/>
        </w:rPr>
        <w:fldChar w:fldCharType="end"/>
      </w:r>
    </w:p>
    <w:p>
      <w:pPr>
        <w:pStyle w:val="34"/>
        <w:tabs>
          <w:tab w:val="right" w:leader="dot" w:pos="10276"/>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_Toc7990 </w:instrText>
      </w:r>
      <w:r>
        <w:rPr>
          <w:rFonts w:hint="default" w:ascii="Times New Roman" w:hAnsi="Times New Roman" w:cs="Times New Roman"/>
          <w:szCs w:val="28"/>
        </w:rPr>
        <w:fldChar w:fldCharType="separate"/>
      </w:r>
      <w:r>
        <w:rPr>
          <w:rFonts w:hint="default" w:ascii="Times New Roman" w:hAnsi="Times New Roman" w:cs="Times New Roman"/>
        </w:rPr>
        <w:t>8.1运行机构</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_Toc7990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r>
        <w:rPr>
          <w:rFonts w:hint="default" w:ascii="Times New Roman" w:hAnsi="Times New Roman" w:cs="Times New Roman"/>
          <w:szCs w:val="28"/>
        </w:rPr>
        <w:fldChar w:fldCharType="end"/>
      </w:r>
    </w:p>
    <w:p>
      <w:pPr>
        <w:pStyle w:val="34"/>
        <w:tabs>
          <w:tab w:val="right" w:leader="dot" w:pos="10276"/>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_Toc4432 </w:instrText>
      </w:r>
      <w:r>
        <w:rPr>
          <w:rFonts w:hint="default" w:ascii="Times New Roman" w:hAnsi="Times New Roman" w:cs="Times New Roman"/>
          <w:szCs w:val="28"/>
        </w:rPr>
        <w:fldChar w:fldCharType="separate"/>
      </w:r>
      <w:r>
        <w:rPr>
          <w:rFonts w:hint="default" w:ascii="Times New Roman" w:hAnsi="Times New Roman" w:cs="Times New Roman"/>
        </w:rPr>
        <w:t>8.2运行模式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_Toc4432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r>
        <w:rPr>
          <w:rFonts w:hint="default" w:ascii="Times New Roman" w:hAnsi="Times New Roman" w:cs="Times New Roman"/>
          <w:szCs w:val="28"/>
        </w:rPr>
        <w:fldChar w:fldCharType="end"/>
      </w:r>
    </w:p>
    <w:p>
      <w:pPr>
        <w:pStyle w:val="34"/>
        <w:tabs>
          <w:tab w:val="right" w:leader="dot" w:pos="10276"/>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_Toc21421 </w:instrText>
      </w:r>
      <w:r>
        <w:rPr>
          <w:rFonts w:hint="default" w:ascii="Times New Roman" w:hAnsi="Times New Roman" w:cs="Times New Roman"/>
          <w:szCs w:val="28"/>
        </w:rPr>
        <w:fldChar w:fldCharType="separate"/>
      </w:r>
      <w:r>
        <w:rPr>
          <w:rFonts w:hint="default" w:ascii="Times New Roman" w:hAnsi="Times New Roman" w:cs="Times New Roman"/>
        </w:rPr>
        <w:t>8.3组织机构</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_Toc21421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r>
        <w:rPr>
          <w:rFonts w:hint="default" w:ascii="Times New Roman" w:hAnsi="Times New Roman" w:cs="Times New Roman"/>
          <w:szCs w:val="28"/>
        </w:rPr>
        <w:fldChar w:fldCharType="end"/>
      </w:r>
    </w:p>
    <w:p>
      <w:pPr>
        <w:pStyle w:val="34"/>
        <w:tabs>
          <w:tab w:val="right" w:leader="dot" w:pos="10276"/>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_Toc5897 </w:instrText>
      </w:r>
      <w:r>
        <w:rPr>
          <w:rFonts w:hint="default" w:ascii="Times New Roman" w:hAnsi="Times New Roman" w:cs="Times New Roman"/>
          <w:szCs w:val="28"/>
        </w:rPr>
        <w:fldChar w:fldCharType="separate"/>
      </w:r>
      <w:r>
        <w:rPr>
          <w:rFonts w:hint="default" w:ascii="Times New Roman" w:hAnsi="Times New Roman" w:cs="Times New Roman"/>
        </w:rPr>
        <w:t>8.4责任分工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_Toc5897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r>
        <w:rPr>
          <w:rFonts w:hint="default" w:ascii="Times New Roman" w:hAnsi="Times New Roman" w:cs="Times New Roman"/>
          <w:szCs w:val="28"/>
        </w:rPr>
        <w:fldChar w:fldCharType="end"/>
      </w:r>
    </w:p>
    <w:p>
      <w:pPr>
        <w:pStyle w:val="34"/>
        <w:tabs>
          <w:tab w:val="right" w:leader="dot" w:pos="10276"/>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_Toc28753 </w:instrText>
      </w:r>
      <w:r>
        <w:rPr>
          <w:rFonts w:hint="default" w:ascii="Times New Roman" w:hAnsi="Times New Roman" w:cs="Times New Roman"/>
          <w:szCs w:val="28"/>
        </w:rPr>
        <w:fldChar w:fldCharType="separate"/>
      </w:r>
      <w:r>
        <w:rPr>
          <w:rFonts w:hint="default" w:ascii="Times New Roman" w:hAnsi="Times New Roman" w:cs="Times New Roman"/>
        </w:rPr>
        <w:t>8.5运营维护</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_Toc28753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r>
        <w:rPr>
          <w:rFonts w:hint="default" w:ascii="Times New Roman" w:hAnsi="Times New Roman" w:cs="Times New Roman"/>
          <w:szCs w:val="28"/>
        </w:rPr>
        <w:fldChar w:fldCharType="end"/>
      </w:r>
    </w:p>
    <w:p>
      <w:pPr>
        <w:pStyle w:val="30"/>
        <w:tabs>
          <w:tab w:val="right" w:leader="dot" w:pos="10276"/>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_Toc29265 </w:instrText>
      </w:r>
      <w:r>
        <w:rPr>
          <w:rFonts w:hint="default" w:ascii="Times New Roman" w:hAnsi="Times New Roman" w:cs="Times New Roman"/>
          <w:szCs w:val="28"/>
        </w:rPr>
        <w:fldChar w:fldCharType="separate"/>
      </w:r>
      <w:r>
        <w:rPr>
          <w:rFonts w:hint="default" w:ascii="Times New Roman" w:hAnsi="Times New Roman" w:cs="Times New Roman"/>
        </w:rPr>
        <w:t>第九章 效益分析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_Toc29265 </w:instrText>
      </w:r>
      <w:r>
        <w:rPr>
          <w:rFonts w:hint="default" w:ascii="Times New Roman" w:hAnsi="Times New Roman" w:cs="Times New Roman"/>
        </w:rPr>
        <w:fldChar w:fldCharType="separate"/>
      </w:r>
      <w:r>
        <w:rPr>
          <w:rFonts w:hint="default" w:ascii="Times New Roman" w:hAnsi="Times New Roman" w:cs="Times New Roman"/>
        </w:rPr>
        <w:t>18</w:t>
      </w:r>
      <w:r>
        <w:rPr>
          <w:rFonts w:hint="default" w:ascii="Times New Roman" w:hAnsi="Times New Roman" w:cs="Times New Roman"/>
        </w:rPr>
        <w:fldChar w:fldCharType="end"/>
      </w:r>
      <w:r>
        <w:rPr>
          <w:rFonts w:hint="default" w:ascii="Times New Roman" w:hAnsi="Times New Roman" w:cs="Times New Roman"/>
          <w:szCs w:val="28"/>
        </w:rPr>
        <w:fldChar w:fldCharType="end"/>
      </w:r>
    </w:p>
    <w:p>
      <w:pPr>
        <w:pStyle w:val="34"/>
        <w:tabs>
          <w:tab w:val="right" w:leader="dot" w:pos="10276"/>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_Toc6904 </w:instrText>
      </w:r>
      <w:r>
        <w:rPr>
          <w:rFonts w:hint="default" w:ascii="Times New Roman" w:hAnsi="Times New Roman" w:cs="Times New Roman"/>
          <w:szCs w:val="28"/>
        </w:rPr>
        <w:fldChar w:fldCharType="separate"/>
      </w:r>
      <w:r>
        <w:rPr>
          <w:rFonts w:hint="default" w:ascii="Times New Roman" w:hAnsi="Times New Roman" w:cs="Times New Roman"/>
        </w:rPr>
        <w:t>9.1环境效益</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_Toc6904 </w:instrText>
      </w:r>
      <w:r>
        <w:rPr>
          <w:rFonts w:hint="default" w:ascii="Times New Roman" w:hAnsi="Times New Roman" w:cs="Times New Roman"/>
        </w:rPr>
        <w:fldChar w:fldCharType="separate"/>
      </w:r>
      <w:r>
        <w:rPr>
          <w:rFonts w:hint="default" w:ascii="Times New Roman" w:hAnsi="Times New Roman" w:cs="Times New Roman"/>
        </w:rPr>
        <w:t>18</w:t>
      </w:r>
      <w:r>
        <w:rPr>
          <w:rFonts w:hint="default" w:ascii="Times New Roman" w:hAnsi="Times New Roman" w:cs="Times New Roman"/>
        </w:rPr>
        <w:fldChar w:fldCharType="end"/>
      </w:r>
      <w:r>
        <w:rPr>
          <w:rFonts w:hint="default" w:ascii="Times New Roman" w:hAnsi="Times New Roman" w:cs="Times New Roman"/>
          <w:szCs w:val="28"/>
        </w:rPr>
        <w:fldChar w:fldCharType="end"/>
      </w:r>
    </w:p>
    <w:p>
      <w:pPr>
        <w:pStyle w:val="34"/>
        <w:tabs>
          <w:tab w:val="right" w:leader="dot" w:pos="10276"/>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_Toc19581 </w:instrText>
      </w:r>
      <w:r>
        <w:rPr>
          <w:rFonts w:hint="default" w:ascii="Times New Roman" w:hAnsi="Times New Roman" w:cs="Times New Roman"/>
          <w:szCs w:val="28"/>
        </w:rPr>
        <w:fldChar w:fldCharType="separate"/>
      </w:r>
      <w:r>
        <w:rPr>
          <w:rFonts w:hint="default" w:ascii="Times New Roman" w:hAnsi="Times New Roman" w:cs="Times New Roman"/>
        </w:rPr>
        <w:t>9.2社会效益</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_Toc19581 </w:instrText>
      </w:r>
      <w:r>
        <w:rPr>
          <w:rFonts w:hint="default" w:ascii="Times New Roman" w:hAnsi="Times New Roman" w:cs="Times New Roman"/>
        </w:rPr>
        <w:fldChar w:fldCharType="separate"/>
      </w:r>
      <w:r>
        <w:rPr>
          <w:rFonts w:hint="default" w:ascii="Times New Roman" w:hAnsi="Times New Roman" w:cs="Times New Roman"/>
        </w:rPr>
        <w:t>18</w:t>
      </w:r>
      <w:r>
        <w:rPr>
          <w:rFonts w:hint="default" w:ascii="Times New Roman" w:hAnsi="Times New Roman" w:cs="Times New Roman"/>
        </w:rPr>
        <w:fldChar w:fldCharType="end"/>
      </w:r>
      <w:r>
        <w:rPr>
          <w:rFonts w:hint="default" w:ascii="Times New Roman" w:hAnsi="Times New Roman" w:cs="Times New Roman"/>
          <w:szCs w:val="28"/>
        </w:rPr>
        <w:fldChar w:fldCharType="end"/>
      </w:r>
    </w:p>
    <w:p>
      <w:pPr>
        <w:pStyle w:val="34"/>
        <w:tabs>
          <w:tab w:val="right" w:leader="dot" w:pos="10276"/>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_Toc20271 </w:instrText>
      </w:r>
      <w:r>
        <w:rPr>
          <w:rFonts w:hint="default" w:ascii="Times New Roman" w:hAnsi="Times New Roman" w:cs="Times New Roman"/>
          <w:szCs w:val="28"/>
        </w:rPr>
        <w:fldChar w:fldCharType="separate"/>
      </w:r>
      <w:r>
        <w:rPr>
          <w:rFonts w:hint="default" w:ascii="Times New Roman" w:hAnsi="Times New Roman" w:cs="Times New Roman"/>
        </w:rPr>
        <w:t>9.3经济效益</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_Toc20271 </w:instrText>
      </w:r>
      <w:r>
        <w:rPr>
          <w:rFonts w:hint="default" w:ascii="Times New Roman" w:hAnsi="Times New Roman" w:cs="Times New Roman"/>
        </w:rPr>
        <w:fldChar w:fldCharType="separate"/>
      </w:r>
      <w:r>
        <w:rPr>
          <w:rFonts w:hint="default" w:ascii="Times New Roman" w:hAnsi="Times New Roman" w:cs="Times New Roman"/>
        </w:rPr>
        <w:t>18</w:t>
      </w:r>
      <w:r>
        <w:rPr>
          <w:rFonts w:hint="default" w:ascii="Times New Roman" w:hAnsi="Times New Roman" w:cs="Times New Roman"/>
        </w:rPr>
        <w:fldChar w:fldCharType="end"/>
      </w:r>
      <w:r>
        <w:rPr>
          <w:rFonts w:hint="default" w:ascii="Times New Roman" w:hAnsi="Times New Roman" w:cs="Times New Roman"/>
          <w:szCs w:val="28"/>
        </w:rPr>
        <w:fldChar w:fldCharType="end"/>
      </w:r>
    </w:p>
    <w:p>
      <w:pPr>
        <w:pStyle w:val="30"/>
        <w:tabs>
          <w:tab w:val="right" w:leader="dot" w:pos="10276"/>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_Toc29768 </w:instrText>
      </w:r>
      <w:r>
        <w:rPr>
          <w:rFonts w:hint="default" w:ascii="Times New Roman" w:hAnsi="Times New Roman" w:cs="Times New Roman"/>
          <w:szCs w:val="28"/>
        </w:rPr>
        <w:fldChar w:fldCharType="separate"/>
      </w:r>
      <w:r>
        <w:rPr>
          <w:rFonts w:hint="default" w:ascii="Times New Roman" w:hAnsi="Times New Roman" w:cs="Times New Roman"/>
        </w:rPr>
        <w:t>第十章 保障措施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_Toc29768 </w:instrText>
      </w:r>
      <w:r>
        <w:rPr>
          <w:rFonts w:hint="default" w:ascii="Times New Roman" w:hAnsi="Times New Roman" w:cs="Times New Roman"/>
        </w:rPr>
        <w:fldChar w:fldCharType="separate"/>
      </w:r>
      <w:r>
        <w:rPr>
          <w:rFonts w:hint="default" w:ascii="Times New Roman" w:hAnsi="Times New Roman" w:cs="Times New Roman"/>
        </w:rPr>
        <w:t>19</w:t>
      </w:r>
      <w:r>
        <w:rPr>
          <w:rFonts w:hint="default" w:ascii="Times New Roman" w:hAnsi="Times New Roman" w:cs="Times New Roman"/>
        </w:rPr>
        <w:fldChar w:fldCharType="end"/>
      </w:r>
      <w:r>
        <w:rPr>
          <w:rFonts w:hint="default" w:ascii="Times New Roman" w:hAnsi="Times New Roman" w:cs="Times New Roman"/>
          <w:szCs w:val="28"/>
        </w:rPr>
        <w:fldChar w:fldCharType="end"/>
      </w:r>
    </w:p>
    <w:p>
      <w:pPr>
        <w:pStyle w:val="30"/>
        <w:tabs>
          <w:tab w:val="right" w:leader="dot" w:pos="10276"/>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_Toc32554 </w:instrText>
      </w:r>
      <w:r>
        <w:rPr>
          <w:rFonts w:hint="default" w:ascii="Times New Roman" w:hAnsi="Times New Roman" w:cs="Times New Roman"/>
          <w:szCs w:val="28"/>
        </w:rPr>
        <w:fldChar w:fldCharType="separate"/>
      </w:r>
      <w:r>
        <w:rPr>
          <w:rFonts w:hint="default" w:ascii="Times New Roman" w:hAnsi="Times New Roman" w:cs="Times New Roman"/>
        </w:rPr>
        <w:t>附件一：</w:t>
      </w:r>
      <w:r>
        <w:rPr>
          <w:rFonts w:hint="default" w:ascii="Times New Roman" w:hAnsi="Times New Roman" w:eastAsia="宋体" w:cs="Times New Roman"/>
          <w:lang w:eastAsia="zh-CN"/>
        </w:rPr>
        <w:t>友好区</w:t>
      </w:r>
      <w:r>
        <w:rPr>
          <w:rFonts w:hint="default" w:ascii="Times New Roman" w:hAnsi="Times New Roman" w:cs="Times New Roman"/>
        </w:rPr>
        <w:t>行政区划图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_Toc32554 </w:instrText>
      </w:r>
      <w:r>
        <w:rPr>
          <w:rFonts w:hint="default" w:ascii="Times New Roman" w:hAnsi="Times New Roman" w:cs="Times New Roman"/>
        </w:rPr>
        <w:fldChar w:fldCharType="separate"/>
      </w:r>
      <w:r>
        <w:rPr>
          <w:rFonts w:hint="default" w:ascii="Times New Roman" w:hAnsi="Times New Roman" w:cs="Times New Roman"/>
        </w:rPr>
        <w:t>22</w:t>
      </w:r>
      <w:r>
        <w:rPr>
          <w:rFonts w:hint="default" w:ascii="Times New Roman" w:hAnsi="Times New Roman" w:cs="Times New Roman"/>
        </w:rPr>
        <w:fldChar w:fldCharType="end"/>
      </w:r>
      <w:r>
        <w:rPr>
          <w:rFonts w:hint="default" w:ascii="Times New Roman" w:hAnsi="Times New Roman" w:cs="Times New Roman"/>
          <w:szCs w:val="28"/>
        </w:rPr>
        <w:fldChar w:fldCharType="end"/>
      </w:r>
    </w:p>
    <w:p>
      <w:pPr>
        <w:pStyle w:val="30"/>
        <w:tabs>
          <w:tab w:val="right" w:leader="dot" w:pos="10276"/>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_Toc3462 </w:instrText>
      </w:r>
      <w:r>
        <w:rPr>
          <w:rFonts w:hint="default" w:ascii="Times New Roman" w:hAnsi="Times New Roman" w:cs="Times New Roman"/>
          <w:szCs w:val="28"/>
        </w:rPr>
        <w:fldChar w:fldCharType="separate"/>
      </w:r>
      <w:r>
        <w:rPr>
          <w:rFonts w:hint="default" w:ascii="Times New Roman" w:hAnsi="Times New Roman" w:cs="Times New Roman"/>
        </w:rPr>
        <w:t>附件二：</w:t>
      </w:r>
      <w:r>
        <w:rPr>
          <w:rFonts w:hint="default" w:ascii="Times New Roman" w:hAnsi="Times New Roman" w:eastAsia="宋体" w:cs="Times New Roman"/>
          <w:lang w:eastAsia="zh-CN"/>
        </w:rPr>
        <w:t>友好区</w:t>
      </w:r>
      <w:r>
        <w:rPr>
          <w:rFonts w:hint="default" w:ascii="Times New Roman" w:hAnsi="Times New Roman" w:cs="Times New Roman"/>
        </w:rPr>
        <w:t>生态敏感区划图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_Toc3462 </w:instrText>
      </w:r>
      <w:r>
        <w:rPr>
          <w:rFonts w:hint="default" w:ascii="Times New Roman" w:hAnsi="Times New Roman" w:cs="Times New Roman"/>
        </w:rPr>
        <w:fldChar w:fldCharType="separate"/>
      </w:r>
      <w:r>
        <w:rPr>
          <w:rFonts w:hint="default" w:ascii="Times New Roman" w:hAnsi="Times New Roman" w:cs="Times New Roman"/>
        </w:rPr>
        <w:t>23</w:t>
      </w:r>
      <w:r>
        <w:rPr>
          <w:rFonts w:hint="default" w:ascii="Times New Roman" w:hAnsi="Times New Roman" w:cs="Times New Roman"/>
        </w:rPr>
        <w:fldChar w:fldCharType="end"/>
      </w:r>
      <w:r>
        <w:rPr>
          <w:rFonts w:hint="default" w:ascii="Times New Roman" w:hAnsi="Times New Roman" w:cs="Times New Roman"/>
          <w:szCs w:val="28"/>
        </w:rPr>
        <w:fldChar w:fldCharType="end"/>
      </w:r>
    </w:p>
    <w:p>
      <w:pPr>
        <w:pStyle w:val="30"/>
        <w:tabs>
          <w:tab w:val="right" w:leader="dot" w:pos="10276"/>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_Toc9830 </w:instrText>
      </w:r>
      <w:r>
        <w:rPr>
          <w:rFonts w:hint="default" w:ascii="Times New Roman" w:hAnsi="Times New Roman" w:cs="Times New Roman"/>
          <w:szCs w:val="28"/>
        </w:rPr>
        <w:fldChar w:fldCharType="separate"/>
      </w:r>
      <w:r>
        <w:rPr>
          <w:rFonts w:hint="default" w:ascii="Times New Roman" w:hAnsi="Times New Roman" w:cs="Times New Roman"/>
        </w:rPr>
        <w:t>附件</w:t>
      </w:r>
      <w:r>
        <w:rPr>
          <w:rFonts w:hint="default" w:ascii="Times New Roman" w:hAnsi="Times New Roman" w:eastAsia="宋体" w:cs="Times New Roman"/>
          <w:lang w:val="en-US" w:eastAsia="zh-CN"/>
        </w:rPr>
        <w:t>三</w:t>
      </w:r>
      <w:r>
        <w:rPr>
          <w:rFonts w:hint="default" w:ascii="Times New Roman" w:hAnsi="Times New Roman" w:cs="Times New Roman"/>
        </w:rPr>
        <w:t>：</w:t>
      </w:r>
      <w:r>
        <w:rPr>
          <w:rFonts w:hint="default" w:ascii="Times New Roman" w:hAnsi="Times New Roman" w:eastAsia="宋体" w:cs="Times New Roman"/>
          <w:lang w:eastAsia="zh-CN"/>
        </w:rPr>
        <w:t>友好区</w:t>
      </w:r>
      <w:r>
        <w:rPr>
          <w:rFonts w:hint="default" w:ascii="Times New Roman" w:hAnsi="Times New Roman" w:cs="Times New Roman"/>
        </w:rPr>
        <w:t>农村污水处理设施规划总图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_Toc9830 </w:instrText>
      </w:r>
      <w:r>
        <w:rPr>
          <w:rFonts w:hint="default" w:ascii="Times New Roman" w:hAnsi="Times New Roman" w:cs="Times New Roman"/>
        </w:rPr>
        <w:fldChar w:fldCharType="separate"/>
      </w:r>
      <w:r>
        <w:rPr>
          <w:rFonts w:hint="default" w:ascii="Times New Roman" w:hAnsi="Times New Roman" w:cs="Times New Roman"/>
        </w:rPr>
        <w:t>24</w:t>
      </w:r>
      <w:r>
        <w:rPr>
          <w:rFonts w:hint="default" w:ascii="Times New Roman" w:hAnsi="Times New Roman" w:cs="Times New Roman"/>
        </w:rPr>
        <w:fldChar w:fldCharType="end"/>
      </w:r>
      <w:r>
        <w:rPr>
          <w:rFonts w:hint="default" w:ascii="Times New Roman" w:hAnsi="Times New Roman" w:cs="Times New Roman"/>
          <w:szCs w:val="28"/>
        </w:rPr>
        <w:fldChar w:fldCharType="end"/>
      </w:r>
    </w:p>
    <w:p>
      <w:pPr>
        <w:pStyle w:val="30"/>
        <w:tabs>
          <w:tab w:val="right" w:leader="dot" w:pos="10276"/>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_Toc13851 </w:instrText>
      </w:r>
      <w:r>
        <w:rPr>
          <w:rFonts w:hint="default" w:ascii="Times New Roman" w:hAnsi="Times New Roman" w:cs="Times New Roman"/>
          <w:szCs w:val="28"/>
        </w:rPr>
        <w:fldChar w:fldCharType="separate"/>
      </w:r>
      <w:r>
        <w:rPr>
          <w:rFonts w:hint="default" w:ascii="Times New Roman" w:hAnsi="Times New Roman" w:cs="Times New Roman"/>
        </w:rPr>
        <w:t>附件</w:t>
      </w:r>
      <w:r>
        <w:rPr>
          <w:rFonts w:hint="default" w:ascii="Times New Roman" w:hAnsi="Times New Roman" w:eastAsia="宋体" w:cs="Times New Roman"/>
          <w:lang w:val="en-US" w:eastAsia="zh-CN"/>
        </w:rPr>
        <w:t>四</w:t>
      </w:r>
      <w:r>
        <w:rPr>
          <w:rFonts w:hint="default" w:ascii="Times New Roman" w:hAnsi="Times New Roman" w:cs="Times New Roman"/>
        </w:rPr>
        <w:t>：统计表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_Toc13851 </w:instrText>
      </w:r>
      <w:r>
        <w:rPr>
          <w:rFonts w:hint="default" w:ascii="Times New Roman" w:hAnsi="Times New Roman" w:cs="Times New Roman"/>
        </w:rPr>
        <w:fldChar w:fldCharType="separate"/>
      </w:r>
      <w:r>
        <w:rPr>
          <w:rFonts w:hint="default" w:ascii="Times New Roman" w:hAnsi="Times New Roman" w:cs="Times New Roman"/>
        </w:rPr>
        <w:t>25</w:t>
      </w:r>
      <w:r>
        <w:rPr>
          <w:rFonts w:hint="default" w:ascii="Times New Roman" w:hAnsi="Times New Roman" w:cs="Times New Roman"/>
        </w:rPr>
        <w:fldChar w:fldCharType="end"/>
      </w:r>
      <w:r>
        <w:rPr>
          <w:rFonts w:hint="default" w:ascii="Times New Roman" w:hAnsi="Times New Roman" w:cs="Times New Roman"/>
          <w:szCs w:val="28"/>
        </w:rPr>
        <w:fldChar w:fldCharType="end"/>
      </w:r>
    </w:p>
    <w:p>
      <w:pPr>
        <w:pStyle w:val="30"/>
        <w:tabs>
          <w:tab w:val="right" w:leader="dot" w:pos="10276"/>
        </w:tabs>
        <w:rPr>
          <w:rFonts w:hint="default" w:ascii="Times New Roman" w:hAnsi="Times New Roman" w:cs="Times New Roman"/>
        </w:rPr>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_Toc17775 </w:instrText>
      </w:r>
      <w:r>
        <w:rPr>
          <w:rFonts w:hint="default" w:ascii="Times New Roman" w:hAnsi="Times New Roman" w:cs="Times New Roman"/>
          <w:szCs w:val="28"/>
        </w:rPr>
        <w:fldChar w:fldCharType="separate"/>
      </w:r>
      <w:r>
        <w:rPr>
          <w:rFonts w:hint="default" w:ascii="Times New Roman" w:hAnsi="Times New Roman" w:cs="Times New Roman"/>
        </w:rPr>
        <w:t>附件</w:t>
      </w:r>
      <w:r>
        <w:rPr>
          <w:rFonts w:hint="default" w:ascii="Times New Roman" w:hAnsi="Times New Roman" w:eastAsia="宋体" w:cs="Times New Roman"/>
          <w:lang w:val="en-US" w:eastAsia="zh-CN"/>
        </w:rPr>
        <w:t>五</w:t>
      </w:r>
      <w:r>
        <w:rPr>
          <w:rFonts w:hint="default" w:ascii="Times New Roman" w:hAnsi="Times New Roman" w:cs="Times New Roman"/>
        </w:rPr>
        <w:t>：</w:t>
      </w:r>
      <w:r>
        <w:rPr>
          <w:rFonts w:hint="default" w:ascii="Times New Roman" w:hAnsi="Times New Roman" w:eastAsia="宋体" w:cs="Times New Roman"/>
          <w:lang w:val="en-US" w:eastAsia="zh-CN"/>
        </w:rPr>
        <w:t>规划调整说明</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_Toc17775 </w:instrText>
      </w:r>
      <w:r>
        <w:rPr>
          <w:rFonts w:hint="default" w:ascii="Times New Roman" w:hAnsi="Times New Roman" w:cs="Times New Roman"/>
        </w:rPr>
        <w:fldChar w:fldCharType="separate"/>
      </w:r>
      <w:r>
        <w:rPr>
          <w:rFonts w:hint="default" w:ascii="Times New Roman" w:hAnsi="Times New Roman" w:cs="Times New Roman"/>
        </w:rPr>
        <w:t>25</w:t>
      </w:r>
      <w:r>
        <w:rPr>
          <w:rFonts w:hint="default" w:ascii="Times New Roman" w:hAnsi="Times New Roman" w:cs="Times New Roman"/>
        </w:rPr>
        <w:fldChar w:fldCharType="end"/>
      </w:r>
      <w:r>
        <w:rPr>
          <w:rFonts w:hint="default" w:ascii="Times New Roman" w:hAnsi="Times New Roman" w:cs="Times New Roman"/>
          <w:szCs w:val="28"/>
        </w:rPr>
        <w:fldChar w:fldCharType="end"/>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b/>
        </w:rPr>
      </w:pPr>
      <w:r>
        <w:rPr>
          <w:rFonts w:hint="default" w:ascii="Times New Roman" w:hAnsi="Times New Roman" w:cs="Times New Roman"/>
          <w:szCs w:val="28"/>
        </w:rPr>
        <w:fldChar w:fldCharType="end"/>
      </w:r>
    </w:p>
    <w:p>
      <w:pPr>
        <w:sectPr>
          <w:headerReference r:id="rId3" w:type="default"/>
          <w:footerReference r:id="rId4" w:type="default"/>
          <w:pgSz w:w="23814" w:h="16840" w:orient="landscape"/>
          <w:pgMar w:top="1797" w:right="1418" w:bottom="1418" w:left="1418" w:header="851" w:footer="992" w:gutter="0"/>
          <w:pgBorders>
            <w:top w:val="none" w:sz="0" w:space="0"/>
            <w:left w:val="none" w:sz="0" w:space="0"/>
            <w:bottom w:val="none" w:sz="0" w:space="0"/>
            <w:right w:val="none" w:sz="0" w:space="0"/>
          </w:pgBorders>
          <w:pgNumType w:start="1"/>
          <w:cols w:equalWidth="0" w:num="2">
            <w:col w:w="10276" w:space="425"/>
            <w:col w:w="10276"/>
          </w:cols>
          <w:docGrid w:linePitch="312" w:charSpace="0"/>
        </w:sectPr>
      </w:pPr>
    </w:p>
    <w:p/>
    <w:p>
      <w:pPr>
        <w:pStyle w:val="231"/>
        <w:tabs>
          <w:tab w:val="right" w:leader="dot" w:pos="10276"/>
        </w:tabs>
        <w:ind w:leftChars="0"/>
        <w:jc w:val="center"/>
        <w:outlineLvl w:val="0"/>
        <w:rPr>
          <w:rFonts w:hint="eastAsia"/>
        </w:rPr>
      </w:pPr>
      <w:bookmarkStart w:id="4" w:name="_Toc6686"/>
      <w:bookmarkStart w:id="5" w:name="_Toc753"/>
      <w:bookmarkStart w:id="6" w:name="_Toc8611"/>
      <w:bookmarkStart w:id="7" w:name="_Toc15529"/>
      <w:bookmarkStart w:id="8" w:name="_Toc800"/>
      <w:bookmarkStart w:id="9" w:name="_Toc16462"/>
      <w:r>
        <w:rPr>
          <w:rStyle w:val="58"/>
          <w:rFonts w:hint="eastAsia"/>
        </w:rPr>
        <w:t>第一章 总论</w:t>
      </w:r>
      <w:bookmarkEnd w:id="0"/>
      <w:bookmarkEnd w:id="1"/>
      <w:bookmarkEnd w:id="2"/>
      <w:bookmarkEnd w:id="3"/>
      <w:bookmarkEnd w:id="4"/>
      <w:bookmarkEnd w:id="5"/>
      <w:bookmarkEnd w:id="6"/>
      <w:bookmarkEnd w:id="7"/>
      <w:bookmarkEnd w:id="8"/>
      <w:bookmarkEnd w:id="9"/>
    </w:p>
    <w:p>
      <w:pPr>
        <w:pStyle w:val="7"/>
        <w:outlineLvl w:val="1"/>
      </w:pPr>
      <w:bookmarkStart w:id="10" w:name="_Toc810"/>
      <w:bookmarkStart w:id="11" w:name="_Toc11754"/>
      <w:bookmarkStart w:id="12" w:name="_Toc18093"/>
      <w:bookmarkStart w:id="13" w:name="_Toc8933_WPSOffice_Level2"/>
      <w:bookmarkStart w:id="14" w:name="_Toc16300"/>
      <w:bookmarkStart w:id="15" w:name="_Toc19172"/>
      <w:bookmarkStart w:id="16" w:name="_Toc29455_WPSOffice_Level2"/>
      <w:bookmarkStart w:id="17" w:name="_Toc5601_WPSOffice_Level2"/>
      <w:r>
        <w:rPr>
          <w:rFonts w:hint="eastAsia"/>
        </w:rPr>
        <w:t>1</w:t>
      </w:r>
      <w:r>
        <w:t>.1</w:t>
      </w:r>
      <w:r>
        <w:rPr>
          <w:rFonts w:hint="eastAsia"/>
        </w:rPr>
        <w:t>规划目的及背景</w:t>
      </w:r>
      <w:bookmarkEnd w:id="10"/>
      <w:bookmarkEnd w:id="11"/>
      <w:bookmarkEnd w:id="12"/>
      <w:bookmarkEnd w:id="13"/>
      <w:bookmarkEnd w:id="14"/>
      <w:bookmarkEnd w:id="15"/>
      <w:bookmarkEnd w:id="16"/>
      <w:bookmarkEnd w:id="17"/>
    </w:p>
    <w:p>
      <w:pPr>
        <w:pStyle w:val="2"/>
        <w:ind w:firstLine="560"/>
        <w:rPr>
          <w:rFonts w:hint="eastAsia"/>
        </w:rPr>
      </w:pPr>
      <w:r>
        <w:rPr>
          <w:rFonts w:hint="eastAsia"/>
        </w:rPr>
        <w:t>中央农办、农业农村部、生态环境部、住房城乡建设部、水利部、科技部、国家发展改革委、财政部、银保监会等九部门联合印发了《关于推进农村生活污水治理的指导意见》。《意见》提出，到2020年东部地区、中西部城市近郊区等有基础、有条件的地区，农村生活污水治理率明显提高，村庄内污水横流、乱排乱放情况基本消除，运维管护机制基本建立；中西部有较好基础、基本具备条件的地区，农村生活污水乱排乱放得到有效管控，治理初见成效；地处偏远、经济欠发达等地区，农村生活污水乱排乱放现象明显减少。</w:t>
      </w:r>
    </w:p>
    <w:p>
      <w:pPr>
        <w:pStyle w:val="2"/>
        <w:ind w:firstLine="560"/>
        <w:rPr>
          <w:rFonts w:hint="eastAsia"/>
        </w:rPr>
      </w:pPr>
      <w:r>
        <w:rPr>
          <w:rFonts w:hint="eastAsia"/>
        </w:rPr>
        <w:t>为加快推进全省农村生活污水治理工作，改善农村人居环境，黑龙江省生态环境厅发布《关于加强全省农村生活污水治理的实施意见》。到2025年，城市近郊、改厕率高、经济基础条件好的地区，农村生活污水治理率明显提高；地处偏远、经济欠发达的地区，农村生活污水乱排乱放现象得到有效管控。</w:t>
      </w:r>
    </w:p>
    <w:p>
      <w:pPr>
        <w:pStyle w:val="7"/>
        <w:outlineLvl w:val="1"/>
        <w:rPr>
          <w:color w:val="FF0000"/>
        </w:rPr>
      </w:pPr>
      <w:bookmarkStart w:id="18" w:name="_Toc26501_WPSOffice_Level2"/>
      <w:bookmarkStart w:id="19" w:name="_Toc18176"/>
      <w:bookmarkStart w:id="20" w:name="_Toc25162"/>
      <w:bookmarkStart w:id="21" w:name="_Toc21455"/>
      <w:bookmarkStart w:id="22" w:name="_Toc3649_WPSOffice_Level2"/>
      <w:bookmarkStart w:id="23" w:name="_Toc18796"/>
      <w:r>
        <w:rPr>
          <w:rFonts w:hint="eastAsia"/>
        </w:rPr>
        <w:t>1.</w:t>
      </w:r>
      <w:r>
        <w:rPr>
          <w:rFonts w:hint="eastAsia"/>
          <w:color w:val="000000"/>
        </w:rPr>
        <w:t>2</w:t>
      </w:r>
      <w:bookmarkEnd w:id="18"/>
      <w:r>
        <w:rPr>
          <w:rFonts w:hint="eastAsia"/>
          <w:color w:val="000000"/>
        </w:rPr>
        <w:t>规划指导思想</w:t>
      </w:r>
      <w:bookmarkEnd w:id="19"/>
      <w:bookmarkEnd w:id="20"/>
      <w:bookmarkEnd w:id="21"/>
      <w:bookmarkEnd w:id="22"/>
      <w:bookmarkEnd w:id="23"/>
    </w:p>
    <w:p>
      <w:pPr>
        <w:pStyle w:val="2"/>
        <w:ind w:firstLine="560"/>
        <w:rPr>
          <w:rFonts w:hint="eastAsia"/>
        </w:rPr>
      </w:pPr>
      <w:r>
        <w:rPr>
          <w:rFonts w:hint="eastAsia"/>
        </w:rPr>
        <w:t>党中央、国务院高度重视农村生活污水治理工作，2018年1月发布《中共中央 国务院关于实施乡村振兴战略的意见》，2018年2月中共中央办公厅 国务院办公厅印发《农村人居环境整治三年行动方案》重点任务之一是：“梯次推进农村生活污水治理。根据农村不同区位条件、村庄人口聚集程度、污水产生规模，因地制宜采用污染治理与资源利用相结合、工程措施与生态措施相结合、集中与分散相结合的建设模式和处理工艺。”</w:t>
      </w:r>
    </w:p>
    <w:p>
      <w:pPr>
        <w:pStyle w:val="2"/>
        <w:ind w:firstLine="560"/>
        <w:rPr>
          <w:rFonts w:hint="eastAsia"/>
        </w:rPr>
      </w:pPr>
      <w:r>
        <w:rPr>
          <w:rFonts w:hint="eastAsia"/>
        </w:rPr>
        <w:t>黑龙江省省委、黑龙江省人民政府2018年8月发布了《黑龙江省农村人居环境整治三年行动实施方案（2018-2020年）》，该方案中要求：“推进农村生活污水治理，加强农村生活污水排放管控和分类处理”。</w:t>
      </w:r>
    </w:p>
    <w:p>
      <w:pPr>
        <w:pStyle w:val="2"/>
        <w:ind w:firstLine="560"/>
        <w:rPr>
          <w:rFonts w:hint="eastAsia"/>
        </w:rPr>
      </w:pPr>
      <w:r>
        <w:rPr>
          <w:rFonts w:hint="eastAsia"/>
        </w:rPr>
        <w:t>同时，国务院于2015年4月发布了《水污染防治行动计划》，该计划中提出：加快农村环境综合整治。以县级行政区域为单元，实行农村污水处理统一规划、统一建设、统一管理，有条件的地区积极推进城镇污水处理设施和服务向农村延伸。</w:t>
      </w:r>
    </w:p>
    <w:p>
      <w:pPr>
        <w:pStyle w:val="2"/>
        <w:ind w:firstLine="560"/>
        <w:rPr>
          <w:rFonts w:hint="eastAsia"/>
        </w:rPr>
      </w:pPr>
      <w:r>
        <w:rPr>
          <w:rFonts w:hint="eastAsia"/>
        </w:rPr>
        <w:t>为进一步贯彻落实习近平生态文明思想，按照国务院《水污染防治行动计划》、党中央 国务院《农村人居环境整治三年行动方案》及省委省政府相关工作要求，结合</w:t>
      </w:r>
      <w:r>
        <w:rPr>
          <w:rFonts w:hint="eastAsia"/>
          <w:lang w:eastAsia="zh-CN"/>
        </w:rPr>
        <w:t>友好区</w:t>
      </w:r>
      <w:r>
        <w:rPr>
          <w:rFonts w:hint="eastAsia"/>
        </w:rPr>
        <w:t>实际情况，根据《黑龙江省县域农村生活污水治理专项规划编制纲要（黑环发〔2019〕154 号）》编制《</w:t>
      </w:r>
      <w:r>
        <w:rPr>
          <w:rFonts w:hint="eastAsia"/>
          <w:lang w:eastAsia="zh-CN"/>
        </w:rPr>
        <w:t>友好区</w:t>
      </w:r>
      <w:r>
        <w:rPr>
          <w:rFonts w:hint="eastAsia"/>
        </w:rPr>
        <w:t>农村生活污水治理专项规划（2020-2030）》，以指导全区范围内农村生活污水治理工作。</w:t>
      </w:r>
    </w:p>
    <w:p>
      <w:pPr>
        <w:pStyle w:val="7"/>
        <w:outlineLvl w:val="1"/>
      </w:pPr>
      <w:bookmarkStart w:id="24" w:name="_Toc4532"/>
      <w:bookmarkStart w:id="25" w:name="_Toc2756_WPSOffice_Level2"/>
      <w:bookmarkStart w:id="26" w:name="_Toc6927"/>
      <w:bookmarkStart w:id="27" w:name="_Toc7862_WPSOffice_Level2"/>
      <w:bookmarkStart w:id="28" w:name="_Toc8503_WPSOffice_Level2"/>
      <w:bookmarkStart w:id="29" w:name="_Toc5899"/>
      <w:bookmarkStart w:id="30" w:name="_Toc19686"/>
      <w:bookmarkStart w:id="31" w:name="_Toc26336"/>
      <w:r>
        <w:rPr>
          <w:rFonts w:hint="eastAsia"/>
        </w:rPr>
        <w:t>1</w:t>
      </w:r>
      <w:r>
        <w:t>.3</w:t>
      </w:r>
      <w:r>
        <w:rPr>
          <w:rFonts w:hint="eastAsia"/>
        </w:rPr>
        <w:t>规划原则</w:t>
      </w:r>
      <w:bookmarkEnd w:id="24"/>
      <w:bookmarkEnd w:id="25"/>
      <w:bookmarkEnd w:id="26"/>
      <w:bookmarkEnd w:id="27"/>
      <w:bookmarkEnd w:id="28"/>
      <w:bookmarkEnd w:id="29"/>
      <w:bookmarkEnd w:id="30"/>
      <w:bookmarkEnd w:id="31"/>
    </w:p>
    <w:p>
      <w:pPr>
        <w:pStyle w:val="2"/>
        <w:ind w:firstLine="560"/>
        <w:rPr>
          <w:rFonts w:hint="eastAsia" w:eastAsia="宋体"/>
          <w:lang w:eastAsia="zh-CN"/>
        </w:rPr>
      </w:pPr>
      <w:r>
        <w:rPr>
          <w:rFonts w:hint="eastAsia"/>
        </w:rPr>
        <w:t>1、</w:t>
      </w:r>
      <w:r>
        <w:rPr>
          <w:rFonts w:hint="eastAsia"/>
          <w:lang w:val="en-US" w:eastAsia="zh-CN"/>
        </w:rPr>
        <w:t>科学规划、统筹安排</w:t>
      </w:r>
      <w:r>
        <w:rPr>
          <w:rFonts w:hint="eastAsia"/>
          <w:lang w:eastAsia="zh-CN"/>
        </w:rPr>
        <w:t>；</w:t>
      </w:r>
    </w:p>
    <w:p>
      <w:pPr>
        <w:pStyle w:val="2"/>
        <w:ind w:firstLine="560"/>
      </w:pPr>
      <w:r>
        <w:rPr>
          <w:rFonts w:hint="eastAsia"/>
        </w:rPr>
        <w:t>2、</w:t>
      </w:r>
      <w:r>
        <w:rPr>
          <w:rFonts w:hint="eastAsia"/>
          <w:lang w:val="en-US" w:eastAsia="zh-CN"/>
        </w:rPr>
        <w:t>因地制宜、利用为主</w:t>
      </w:r>
      <w:r>
        <w:rPr>
          <w:rFonts w:hint="eastAsia"/>
          <w:lang w:eastAsia="zh-CN"/>
        </w:rPr>
        <w:t>；</w:t>
      </w:r>
    </w:p>
    <w:p>
      <w:pPr>
        <w:pStyle w:val="2"/>
        <w:ind w:firstLine="560"/>
        <w:rPr>
          <w:rFonts w:hint="eastAsia" w:eastAsia="宋体"/>
          <w:lang w:eastAsia="zh-CN"/>
        </w:rPr>
      </w:pPr>
      <w:r>
        <w:rPr>
          <w:rFonts w:hint="eastAsia"/>
        </w:rPr>
        <w:t>3、</w:t>
      </w:r>
      <w:r>
        <w:rPr>
          <w:rFonts w:hint="eastAsia"/>
          <w:lang w:val="en-US" w:eastAsia="zh-CN"/>
        </w:rPr>
        <w:t>突出重点、梯次推进</w:t>
      </w:r>
      <w:r>
        <w:rPr>
          <w:rFonts w:hint="eastAsia"/>
          <w:lang w:eastAsia="zh-CN"/>
        </w:rPr>
        <w:t>；</w:t>
      </w:r>
    </w:p>
    <w:p>
      <w:pPr>
        <w:pStyle w:val="2"/>
        <w:ind w:firstLine="560"/>
        <w:rPr>
          <w:rFonts w:hint="eastAsia" w:eastAsia="宋体"/>
          <w:lang w:eastAsia="zh-CN"/>
        </w:rPr>
      </w:pPr>
      <w:r>
        <w:rPr>
          <w:rFonts w:hint="eastAsia"/>
        </w:rPr>
        <w:t>4、</w:t>
      </w:r>
      <w:r>
        <w:rPr>
          <w:rFonts w:hint="eastAsia"/>
          <w:lang w:val="en-US" w:eastAsia="zh-CN"/>
        </w:rPr>
        <w:t>建管并重、长期运行</w:t>
      </w:r>
      <w:r>
        <w:rPr>
          <w:rFonts w:hint="eastAsia"/>
          <w:lang w:eastAsia="zh-CN"/>
        </w:rPr>
        <w:t>；</w:t>
      </w:r>
    </w:p>
    <w:p>
      <w:pPr>
        <w:pStyle w:val="2"/>
        <w:ind w:firstLine="560"/>
        <w:rPr>
          <w:rFonts w:hint="eastAsia"/>
          <w:lang w:val="en-US" w:eastAsia="zh-CN"/>
        </w:rPr>
      </w:pPr>
      <w:r>
        <w:rPr>
          <w:rFonts w:hint="eastAsia"/>
        </w:rPr>
        <w:t>5、</w:t>
      </w:r>
      <w:r>
        <w:rPr>
          <w:rFonts w:hint="eastAsia"/>
          <w:lang w:val="en-US" w:eastAsia="zh-CN"/>
        </w:rPr>
        <w:t>经济实用、易于推广；</w:t>
      </w:r>
    </w:p>
    <w:p>
      <w:pPr>
        <w:pStyle w:val="2"/>
        <w:ind w:firstLine="560"/>
        <w:rPr>
          <w:rFonts w:hint="default"/>
          <w:lang w:val="en-US" w:eastAsia="zh-CN"/>
        </w:rPr>
      </w:pPr>
      <w:r>
        <w:rPr>
          <w:rFonts w:hint="eastAsia"/>
          <w:lang w:val="en-US" w:eastAsia="zh-CN"/>
        </w:rPr>
        <w:t>6、政府主导、社会参与。</w:t>
      </w:r>
    </w:p>
    <w:p>
      <w:pPr>
        <w:pStyle w:val="7"/>
        <w:outlineLvl w:val="1"/>
      </w:pPr>
      <w:bookmarkStart w:id="32" w:name="_Toc17343"/>
      <w:bookmarkStart w:id="33" w:name="_Toc587_WPSOffice_Level2"/>
      <w:bookmarkStart w:id="34" w:name="_Toc16264"/>
      <w:bookmarkStart w:id="35" w:name="_Toc30471"/>
      <w:bookmarkStart w:id="36" w:name="_Toc5923"/>
      <w:bookmarkStart w:id="37" w:name="_Toc29570"/>
      <w:bookmarkStart w:id="38" w:name="_Toc27897_WPSOffice_Level2"/>
      <w:bookmarkStart w:id="39" w:name="_Toc20033_WPSOffice_Level2"/>
      <w:r>
        <w:rPr>
          <w:rFonts w:hint="eastAsia"/>
        </w:rPr>
        <w:t>1</w:t>
      </w:r>
      <w:r>
        <w:t>.</w:t>
      </w:r>
      <w:r>
        <w:rPr>
          <w:rFonts w:hint="eastAsia"/>
        </w:rPr>
        <w:t>4规划依据</w:t>
      </w:r>
      <w:bookmarkEnd w:id="32"/>
      <w:bookmarkEnd w:id="33"/>
      <w:bookmarkEnd w:id="34"/>
      <w:bookmarkEnd w:id="35"/>
      <w:bookmarkEnd w:id="36"/>
      <w:bookmarkEnd w:id="37"/>
      <w:bookmarkEnd w:id="38"/>
      <w:bookmarkEnd w:id="39"/>
    </w:p>
    <w:p>
      <w:pPr>
        <w:pStyle w:val="7"/>
        <w:bidi w:val="0"/>
        <w:rPr>
          <w:rFonts w:hint="eastAsia"/>
        </w:rPr>
      </w:pPr>
      <w:r>
        <w:rPr>
          <w:rFonts w:hint="eastAsia"/>
        </w:rPr>
        <w:t>1</w:t>
      </w:r>
      <w:r>
        <w:t>.4.1</w:t>
      </w:r>
      <w:r>
        <w:rPr>
          <w:rFonts w:hint="eastAsia"/>
        </w:rPr>
        <w:t>有关法律法规、政策</w:t>
      </w:r>
    </w:p>
    <w:p>
      <w:pPr>
        <w:pStyle w:val="2"/>
        <w:ind w:firstLine="560"/>
        <w:rPr>
          <w:rFonts w:hint="eastAsia"/>
          <w:szCs w:val="28"/>
        </w:rPr>
      </w:pPr>
      <w:r>
        <w:rPr>
          <w:szCs w:val="28"/>
        </w:rPr>
        <w:t>1</w:t>
      </w:r>
      <w:r>
        <w:rPr>
          <w:rFonts w:hint="eastAsia"/>
          <w:szCs w:val="28"/>
        </w:rPr>
        <w:t>．《水污染防治行动计划》（国发〔2015〕17 号）</w:t>
      </w:r>
    </w:p>
    <w:p>
      <w:pPr>
        <w:pStyle w:val="2"/>
        <w:ind w:firstLine="560"/>
        <w:rPr>
          <w:rFonts w:hint="eastAsia"/>
          <w:szCs w:val="28"/>
        </w:rPr>
      </w:pPr>
      <w:r>
        <w:rPr>
          <w:szCs w:val="28"/>
        </w:rPr>
        <w:t>2</w:t>
      </w:r>
      <w:r>
        <w:rPr>
          <w:rFonts w:hint="eastAsia"/>
          <w:szCs w:val="28"/>
        </w:rPr>
        <w:t>．《“十三五”全国城镇污水处理及再生利用设施建设规划》（发改环资〔2016〕2849 号）</w:t>
      </w:r>
    </w:p>
    <w:p>
      <w:pPr>
        <w:pStyle w:val="2"/>
        <w:ind w:firstLine="560"/>
        <w:rPr>
          <w:rFonts w:hint="eastAsia"/>
          <w:szCs w:val="28"/>
        </w:rPr>
      </w:pPr>
      <w:r>
        <w:rPr>
          <w:rFonts w:hint="eastAsia"/>
          <w:szCs w:val="28"/>
          <w:lang w:val="en-US" w:eastAsia="zh-CN"/>
        </w:rPr>
        <w:t>3</w:t>
      </w:r>
      <w:r>
        <w:rPr>
          <w:rFonts w:hint="eastAsia"/>
          <w:szCs w:val="28"/>
        </w:rPr>
        <w:t>．《中共中央、国务院关于全面加强生态环境保护坚决打好污染防治攻坚战的意见》（中发〔2018〕17 号）</w:t>
      </w:r>
    </w:p>
    <w:p>
      <w:pPr>
        <w:pStyle w:val="2"/>
        <w:ind w:firstLine="560"/>
        <w:rPr>
          <w:rFonts w:hint="eastAsia"/>
          <w:szCs w:val="28"/>
        </w:rPr>
      </w:pPr>
      <w:r>
        <w:rPr>
          <w:rFonts w:hint="eastAsia"/>
          <w:szCs w:val="28"/>
          <w:lang w:val="en-US" w:eastAsia="zh-CN"/>
        </w:rPr>
        <w:t>4</w:t>
      </w:r>
      <w:r>
        <w:rPr>
          <w:rFonts w:hint="eastAsia"/>
          <w:szCs w:val="28"/>
        </w:rPr>
        <w:t>．中共黑龙江省委办公厅黑龙江省人民政府办公厅关于印发《黑龙江省农村人居环境整治三年行动实施方案（2018－2020 年）》的通知（2018 年8 月7 日）</w:t>
      </w:r>
    </w:p>
    <w:p>
      <w:pPr>
        <w:pStyle w:val="2"/>
        <w:ind w:firstLine="560"/>
        <w:rPr>
          <w:rFonts w:hint="eastAsia"/>
          <w:szCs w:val="28"/>
        </w:rPr>
      </w:pPr>
      <w:r>
        <w:rPr>
          <w:rFonts w:hint="eastAsia"/>
          <w:szCs w:val="28"/>
          <w:lang w:val="en-US" w:eastAsia="zh-CN"/>
        </w:rPr>
        <w:t>5</w:t>
      </w:r>
      <w:r>
        <w:rPr>
          <w:rFonts w:hint="eastAsia"/>
          <w:szCs w:val="28"/>
        </w:rPr>
        <w:t>．《黑龙江省人民政府关于印发黑龙江省水污染防治工作方案的通知》（黑政发〔2016〕3号）</w:t>
      </w:r>
    </w:p>
    <w:p>
      <w:pPr>
        <w:pStyle w:val="2"/>
        <w:ind w:firstLine="560"/>
        <w:rPr>
          <w:rFonts w:hint="eastAsia"/>
        </w:rPr>
      </w:pPr>
      <w:r>
        <w:rPr>
          <w:rFonts w:hint="eastAsia"/>
          <w:lang w:val="en-US" w:eastAsia="zh-CN"/>
        </w:rPr>
        <w:t>6</w:t>
      </w:r>
      <w:r>
        <w:rPr>
          <w:rFonts w:hint="eastAsia"/>
        </w:rPr>
        <w:t>．《中华人民共和国城乡规划法》（2008 年1 月1 日起施行 2015 年修改）</w:t>
      </w:r>
    </w:p>
    <w:p>
      <w:pPr>
        <w:pStyle w:val="2"/>
        <w:ind w:firstLine="560"/>
        <w:rPr>
          <w:rFonts w:hint="eastAsia"/>
        </w:rPr>
      </w:pPr>
      <w:r>
        <w:rPr>
          <w:rFonts w:hint="eastAsia"/>
          <w:lang w:val="en-US" w:eastAsia="zh-CN"/>
        </w:rPr>
        <w:t>7</w:t>
      </w:r>
      <w:r>
        <w:rPr>
          <w:rFonts w:hint="eastAsia"/>
        </w:rPr>
        <w:t>．《中华人民共和国水法》（2002 年10 月1 日起施行 2016 年修改）</w:t>
      </w:r>
    </w:p>
    <w:p>
      <w:pPr>
        <w:pStyle w:val="2"/>
        <w:ind w:firstLine="560"/>
        <w:rPr>
          <w:rFonts w:hint="eastAsia"/>
        </w:rPr>
      </w:pPr>
      <w:r>
        <w:rPr>
          <w:rFonts w:hint="eastAsia"/>
          <w:lang w:val="en-US" w:eastAsia="zh-CN"/>
        </w:rPr>
        <w:t>8</w:t>
      </w:r>
      <w:r>
        <w:rPr>
          <w:rFonts w:hint="eastAsia"/>
        </w:rPr>
        <w:t>．《中华人民共和国环境保护法》（2015 年1 月1 日起施行）</w:t>
      </w:r>
    </w:p>
    <w:p>
      <w:pPr>
        <w:pStyle w:val="2"/>
        <w:ind w:firstLine="560"/>
        <w:rPr>
          <w:rFonts w:hint="eastAsia"/>
          <w:highlight w:val="none"/>
        </w:rPr>
      </w:pPr>
      <w:r>
        <w:rPr>
          <w:rFonts w:hint="eastAsia"/>
          <w:highlight w:val="none"/>
          <w:lang w:val="en-US" w:eastAsia="zh-CN"/>
        </w:rPr>
        <w:t>9</w:t>
      </w:r>
      <w:r>
        <w:rPr>
          <w:rFonts w:hint="eastAsia"/>
          <w:highlight w:val="none"/>
        </w:rPr>
        <w:t>．《中华人民共和国水污染防治法》（2018 年1 月1 日起施行）</w:t>
      </w:r>
    </w:p>
    <w:p>
      <w:pPr>
        <w:pStyle w:val="2"/>
        <w:ind w:firstLine="560"/>
        <w:rPr>
          <w:rFonts w:hint="eastAsia"/>
          <w:highlight w:val="none"/>
        </w:rPr>
      </w:pPr>
      <w:r>
        <w:rPr>
          <w:rFonts w:hint="eastAsia"/>
          <w:highlight w:val="none"/>
          <w:lang w:val="en-US" w:eastAsia="zh-CN"/>
        </w:rPr>
        <w:t>10.</w:t>
      </w:r>
      <w:r>
        <w:rPr>
          <w:rFonts w:hint="eastAsia"/>
          <w:highlight w:val="none"/>
        </w:rPr>
        <w:t>《农村环境整治实施方案》（试行）（土壤函〔2020〕7 号）</w:t>
      </w:r>
    </w:p>
    <w:p>
      <w:pPr>
        <w:pStyle w:val="2"/>
        <w:ind w:firstLine="560"/>
        <w:rPr>
          <w:rFonts w:hint="eastAsia"/>
        </w:rPr>
      </w:pPr>
      <w:r>
        <w:rPr>
          <w:rFonts w:hint="eastAsia"/>
          <w:highlight w:val="none"/>
          <w:lang w:val="en-US" w:eastAsia="zh-CN"/>
        </w:rPr>
        <w:t>11.</w:t>
      </w:r>
      <w:r>
        <w:rPr>
          <w:rFonts w:hint="eastAsia"/>
          <w:highlight w:val="none"/>
        </w:rPr>
        <w:t>《关于加强全省农村生活污水治理的实施意见》</w:t>
      </w:r>
    </w:p>
    <w:p>
      <w:pPr>
        <w:pStyle w:val="7"/>
        <w:bidi w:val="0"/>
        <w:rPr>
          <w:rFonts w:hint="eastAsia"/>
        </w:rPr>
      </w:pPr>
      <w:r>
        <w:rPr>
          <w:rFonts w:hint="eastAsia"/>
        </w:rPr>
        <w:t>1</w:t>
      </w:r>
      <w:r>
        <w:t xml:space="preserve">.4.2  </w:t>
      </w:r>
      <w:r>
        <w:rPr>
          <w:rFonts w:hint="eastAsia"/>
        </w:rPr>
        <w:t>技术规范及标准</w:t>
      </w:r>
    </w:p>
    <w:p>
      <w:pPr>
        <w:pStyle w:val="2"/>
        <w:ind w:firstLine="560"/>
        <w:rPr>
          <w:rFonts w:hint="eastAsia"/>
          <w:highlight w:val="none"/>
        </w:rPr>
      </w:pPr>
      <w:r>
        <w:rPr>
          <w:rFonts w:hint="eastAsia"/>
          <w:highlight w:val="none"/>
          <w:lang w:val="en-US" w:eastAsia="zh-CN"/>
        </w:rPr>
        <w:t>1</w:t>
      </w:r>
      <w:r>
        <w:rPr>
          <w:rFonts w:hint="eastAsia"/>
          <w:highlight w:val="none"/>
        </w:rPr>
        <w:t>．《城市给水工程规划规范》（GB 50282-2016）</w:t>
      </w:r>
    </w:p>
    <w:p>
      <w:pPr>
        <w:pStyle w:val="2"/>
        <w:ind w:firstLine="560"/>
        <w:rPr>
          <w:rFonts w:hint="eastAsia"/>
          <w:highlight w:val="none"/>
        </w:rPr>
      </w:pPr>
      <w:r>
        <w:rPr>
          <w:rFonts w:hint="eastAsia"/>
          <w:highlight w:val="none"/>
          <w:lang w:val="en-US" w:eastAsia="zh-CN"/>
        </w:rPr>
        <w:t>2</w:t>
      </w:r>
      <w:r>
        <w:rPr>
          <w:rFonts w:hint="eastAsia"/>
          <w:highlight w:val="none"/>
        </w:rPr>
        <w:t>．《城市排水工程规划规范》（GB 50318-2017）</w:t>
      </w:r>
    </w:p>
    <w:p>
      <w:pPr>
        <w:pStyle w:val="2"/>
        <w:ind w:firstLine="560"/>
        <w:rPr>
          <w:rFonts w:hint="eastAsia"/>
          <w:highlight w:val="none"/>
        </w:rPr>
      </w:pPr>
      <w:r>
        <w:rPr>
          <w:rFonts w:hint="eastAsia"/>
          <w:highlight w:val="none"/>
          <w:lang w:val="en-US" w:eastAsia="zh-CN"/>
        </w:rPr>
        <w:t>3</w:t>
      </w:r>
      <w:r>
        <w:rPr>
          <w:rFonts w:hint="eastAsia"/>
          <w:highlight w:val="none"/>
        </w:rPr>
        <w:t>．《镇（乡）村给水工程规划规范》（CJJ/T246-2016）</w:t>
      </w:r>
    </w:p>
    <w:p>
      <w:pPr>
        <w:pStyle w:val="2"/>
        <w:ind w:firstLine="560"/>
        <w:rPr>
          <w:rFonts w:hint="eastAsia"/>
          <w:highlight w:val="none"/>
        </w:rPr>
      </w:pPr>
      <w:r>
        <w:rPr>
          <w:rFonts w:hint="eastAsia"/>
          <w:highlight w:val="none"/>
          <w:lang w:val="en-US" w:eastAsia="zh-CN"/>
        </w:rPr>
        <w:t>4</w:t>
      </w:r>
      <w:r>
        <w:rPr>
          <w:rFonts w:hint="eastAsia"/>
          <w:highlight w:val="none"/>
        </w:rPr>
        <w:t>．《村镇供水工程技术规范》（SL310-2004）</w:t>
      </w:r>
    </w:p>
    <w:p>
      <w:pPr>
        <w:pStyle w:val="2"/>
        <w:ind w:firstLine="560"/>
        <w:rPr>
          <w:rFonts w:hint="eastAsia"/>
          <w:highlight w:val="none"/>
        </w:rPr>
      </w:pPr>
      <w:r>
        <w:rPr>
          <w:rFonts w:hint="eastAsia"/>
          <w:highlight w:val="none"/>
          <w:lang w:val="en-US" w:eastAsia="zh-CN"/>
        </w:rPr>
        <w:t>5</w:t>
      </w:r>
      <w:r>
        <w:rPr>
          <w:rFonts w:hint="eastAsia"/>
          <w:highlight w:val="none"/>
        </w:rPr>
        <w:t>．《镇（乡）村给水工程技术规范》（CJJ123-2008）</w:t>
      </w:r>
    </w:p>
    <w:p>
      <w:pPr>
        <w:pStyle w:val="2"/>
        <w:ind w:firstLine="560"/>
        <w:rPr>
          <w:rFonts w:hint="eastAsia"/>
          <w:highlight w:val="none"/>
        </w:rPr>
      </w:pPr>
      <w:r>
        <w:rPr>
          <w:rFonts w:hint="eastAsia"/>
          <w:highlight w:val="none"/>
          <w:lang w:val="en-US" w:eastAsia="zh-CN"/>
        </w:rPr>
        <w:t>6</w:t>
      </w:r>
      <w:r>
        <w:rPr>
          <w:rFonts w:hint="eastAsia"/>
          <w:highlight w:val="none"/>
        </w:rPr>
        <w:t>．《镇（乡）村排水工程技术规范》（CJJ124-2008）</w:t>
      </w:r>
    </w:p>
    <w:p>
      <w:pPr>
        <w:pStyle w:val="2"/>
        <w:ind w:firstLine="560"/>
        <w:rPr>
          <w:rFonts w:hint="eastAsia"/>
          <w:highlight w:val="none"/>
        </w:rPr>
      </w:pPr>
      <w:r>
        <w:rPr>
          <w:rFonts w:hint="eastAsia"/>
          <w:highlight w:val="none"/>
          <w:lang w:val="en-US" w:eastAsia="zh-CN"/>
        </w:rPr>
        <w:t>7</w:t>
      </w:r>
      <w:r>
        <w:rPr>
          <w:rFonts w:hint="eastAsia"/>
          <w:highlight w:val="none"/>
        </w:rPr>
        <w:t>．《小城镇污水处理工程建设标准》（建标148-2010）</w:t>
      </w:r>
    </w:p>
    <w:p>
      <w:pPr>
        <w:pStyle w:val="2"/>
        <w:ind w:firstLine="560"/>
        <w:rPr>
          <w:rFonts w:hint="eastAsia"/>
          <w:highlight w:val="none"/>
        </w:rPr>
      </w:pPr>
      <w:r>
        <w:rPr>
          <w:rFonts w:hint="eastAsia"/>
          <w:highlight w:val="none"/>
          <w:lang w:val="en-US" w:eastAsia="zh-CN"/>
        </w:rPr>
        <w:t>8</w:t>
      </w:r>
      <w:r>
        <w:rPr>
          <w:rFonts w:hint="eastAsia"/>
          <w:highlight w:val="none"/>
        </w:rPr>
        <w:t>．《地表水环境质量标准》（GB 3838-2002）</w:t>
      </w:r>
    </w:p>
    <w:p>
      <w:pPr>
        <w:pStyle w:val="2"/>
        <w:ind w:firstLine="560"/>
        <w:rPr>
          <w:rFonts w:hint="eastAsia"/>
          <w:highlight w:val="none"/>
        </w:rPr>
      </w:pPr>
      <w:r>
        <w:rPr>
          <w:rFonts w:hint="eastAsia"/>
          <w:highlight w:val="none"/>
          <w:lang w:val="en-US" w:eastAsia="zh-CN"/>
        </w:rPr>
        <w:t>9</w:t>
      </w:r>
      <w:r>
        <w:rPr>
          <w:rFonts w:hint="eastAsia"/>
          <w:highlight w:val="none"/>
        </w:rPr>
        <w:t>．《室外排水设计规范》（GB 50014-2006，2016 年版）</w:t>
      </w:r>
    </w:p>
    <w:p>
      <w:pPr>
        <w:pStyle w:val="2"/>
        <w:ind w:firstLine="560"/>
        <w:rPr>
          <w:rFonts w:hint="eastAsia"/>
          <w:highlight w:val="none"/>
        </w:rPr>
      </w:pPr>
      <w:r>
        <w:rPr>
          <w:rFonts w:hint="eastAsia"/>
          <w:highlight w:val="none"/>
          <w:lang w:val="en-US" w:eastAsia="zh-CN"/>
        </w:rPr>
        <w:t>10</w:t>
      </w:r>
      <w:r>
        <w:rPr>
          <w:rFonts w:hint="eastAsia"/>
          <w:highlight w:val="none"/>
        </w:rPr>
        <w:t>．《污水综合排放标准》（GB 8978-1996）</w:t>
      </w:r>
    </w:p>
    <w:p>
      <w:pPr>
        <w:pStyle w:val="2"/>
        <w:ind w:firstLine="560"/>
        <w:rPr>
          <w:rFonts w:hint="eastAsia"/>
          <w:highlight w:val="none"/>
        </w:rPr>
      </w:pPr>
      <w:r>
        <w:rPr>
          <w:rFonts w:hint="eastAsia"/>
          <w:highlight w:val="none"/>
          <w:lang w:val="en-US" w:eastAsia="zh-CN"/>
        </w:rPr>
        <w:t>11</w:t>
      </w:r>
      <w:r>
        <w:rPr>
          <w:rFonts w:hint="eastAsia"/>
          <w:highlight w:val="none"/>
        </w:rPr>
        <w:t>．《污水排入城镇下水道水质标准》（GB/T 31962-2015）</w:t>
      </w:r>
    </w:p>
    <w:p>
      <w:pPr>
        <w:pStyle w:val="2"/>
        <w:ind w:firstLine="560"/>
        <w:rPr>
          <w:rFonts w:hint="eastAsia"/>
          <w:highlight w:val="none"/>
        </w:rPr>
      </w:pPr>
      <w:r>
        <w:rPr>
          <w:highlight w:val="none"/>
        </w:rPr>
        <w:t>1</w:t>
      </w:r>
      <w:r>
        <w:rPr>
          <w:rFonts w:hint="eastAsia"/>
          <w:highlight w:val="none"/>
          <w:lang w:val="en-US" w:eastAsia="zh-CN"/>
        </w:rPr>
        <w:t>2</w:t>
      </w:r>
      <w:r>
        <w:rPr>
          <w:rFonts w:hint="eastAsia"/>
          <w:highlight w:val="none"/>
        </w:rPr>
        <w:t>．《城镇污水处理厂污染物排放标准》（GB 18918-2002）</w:t>
      </w:r>
    </w:p>
    <w:p>
      <w:pPr>
        <w:pStyle w:val="2"/>
        <w:ind w:firstLine="560"/>
        <w:rPr>
          <w:rFonts w:hint="eastAsia"/>
          <w:highlight w:val="none"/>
        </w:rPr>
      </w:pPr>
      <w:r>
        <w:rPr>
          <w:highlight w:val="none"/>
        </w:rPr>
        <w:t>1</w:t>
      </w:r>
      <w:r>
        <w:rPr>
          <w:rFonts w:hint="eastAsia"/>
          <w:highlight w:val="none"/>
          <w:lang w:val="en-US" w:eastAsia="zh-CN"/>
        </w:rPr>
        <w:t>3</w:t>
      </w:r>
      <w:r>
        <w:rPr>
          <w:rFonts w:hint="eastAsia"/>
          <w:highlight w:val="none"/>
        </w:rPr>
        <w:t>．《城市污水处理工程项目建设标准》（ZBBZH/CW）</w:t>
      </w:r>
    </w:p>
    <w:p>
      <w:pPr>
        <w:pStyle w:val="2"/>
        <w:ind w:firstLine="560"/>
        <w:rPr>
          <w:rFonts w:hint="eastAsia"/>
          <w:highlight w:val="none"/>
        </w:rPr>
      </w:pPr>
      <w:r>
        <w:rPr>
          <w:rFonts w:hint="eastAsia"/>
          <w:highlight w:val="none"/>
          <w:lang w:val="en-US" w:eastAsia="zh-CN"/>
        </w:rPr>
        <w:t>14</w:t>
      </w:r>
      <w:r>
        <w:rPr>
          <w:rFonts w:hint="eastAsia"/>
          <w:highlight w:val="none"/>
        </w:rPr>
        <w:t>．《关于加强城镇污水处理厂污泥污染防治工作的通知》（环境保护部环办[2010]157 号）</w:t>
      </w:r>
    </w:p>
    <w:p>
      <w:pPr>
        <w:pStyle w:val="2"/>
        <w:ind w:firstLine="560"/>
        <w:rPr>
          <w:rFonts w:hint="eastAsia"/>
          <w:highlight w:val="none"/>
        </w:rPr>
      </w:pPr>
      <w:r>
        <w:rPr>
          <w:rFonts w:hint="eastAsia"/>
          <w:highlight w:val="none"/>
          <w:lang w:val="en-US" w:eastAsia="zh-CN"/>
        </w:rPr>
        <w:t>15</w:t>
      </w:r>
      <w:r>
        <w:rPr>
          <w:rFonts w:hint="eastAsia"/>
          <w:highlight w:val="none"/>
        </w:rPr>
        <w:t>．《城市生活垃圾处理和给水与污水处理工程项目建设用地指标》（建标[2005]157号）</w:t>
      </w:r>
    </w:p>
    <w:p>
      <w:pPr>
        <w:pStyle w:val="2"/>
        <w:ind w:firstLine="560"/>
        <w:rPr>
          <w:rFonts w:hint="eastAsia"/>
          <w:highlight w:val="none"/>
          <w:lang w:eastAsia="zh-CN"/>
        </w:rPr>
      </w:pPr>
      <w:r>
        <w:rPr>
          <w:rFonts w:hint="eastAsia"/>
          <w:highlight w:val="none"/>
          <w:lang w:val="en-US" w:eastAsia="zh-CN"/>
        </w:rPr>
        <w:t>16</w:t>
      </w:r>
      <w:r>
        <w:rPr>
          <w:rFonts w:hint="eastAsia"/>
          <w:highlight w:val="none"/>
        </w:rPr>
        <w:t>．《农村生活污水处理工程技术标准》</w:t>
      </w:r>
      <w:r>
        <w:rPr>
          <w:rFonts w:hint="eastAsia"/>
          <w:highlight w:val="none"/>
          <w:lang w:eastAsia="zh-CN"/>
        </w:rPr>
        <w:t>（</w:t>
      </w:r>
      <w:r>
        <w:rPr>
          <w:rFonts w:hint="eastAsia"/>
          <w:highlight w:val="none"/>
        </w:rPr>
        <w:t>GB/T51347-2019</w:t>
      </w:r>
      <w:r>
        <w:rPr>
          <w:rFonts w:hint="eastAsia"/>
          <w:highlight w:val="none"/>
          <w:lang w:eastAsia="zh-CN"/>
        </w:rPr>
        <w:t>）</w:t>
      </w:r>
    </w:p>
    <w:p>
      <w:pPr>
        <w:pStyle w:val="2"/>
        <w:ind w:firstLine="560"/>
        <w:rPr>
          <w:rFonts w:hint="eastAsia"/>
          <w:highlight w:val="none"/>
          <w:lang w:eastAsia="zh-CN"/>
        </w:rPr>
      </w:pPr>
      <w:r>
        <w:rPr>
          <w:rFonts w:hint="eastAsia"/>
          <w:highlight w:val="none"/>
          <w:lang w:val="en-US" w:eastAsia="zh-CN"/>
        </w:rPr>
        <w:t>17.</w:t>
      </w:r>
      <w:r>
        <w:rPr>
          <w:rFonts w:hint="eastAsia"/>
          <w:highlight w:val="none"/>
          <w:lang w:eastAsia="zh-CN"/>
        </w:rPr>
        <w:t>《农田灌溉水质标准》（GB5084-2005）</w:t>
      </w:r>
    </w:p>
    <w:p>
      <w:pPr>
        <w:pStyle w:val="2"/>
        <w:ind w:firstLine="560"/>
        <w:rPr>
          <w:rFonts w:hint="eastAsia"/>
          <w:highlight w:val="none"/>
          <w:lang w:eastAsia="zh-CN"/>
        </w:rPr>
      </w:pPr>
      <w:r>
        <w:rPr>
          <w:rFonts w:hint="eastAsia"/>
          <w:highlight w:val="none"/>
          <w:lang w:val="en-US" w:eastAsia="zh-CN"/>
        </w:rPr>
        <w:t>18.</w:t>
      </w:r>
      <w:r>
        <w:rPr>
          <w:rFonts w:hint="eastAsia"/>
          <w:highlight w:val="none"/>
          <w:lang w:eastAsia="zh-CN"/>
        </w:rPr>
        <w:t>《粪便无害化卫生要求》（GB7959-2012）</w:t>
      </w:r>
    </w:p>
    <w:p>
      <w:pPr>
        <w:pStyle w:val="2"/>
        <w:ind w:firstLine="560"/>
        <w:rPr>
          <w:rFonts w:hint="eastAsia"/>
          <w:highlight w:val="none"/>
          <w:lang w:eastAsia="zh-CN"/>
        </w:rPr>
      </w:pPr>
      <w:r>
        <w:rPr>
          <w:rFonts w:hint="eastAsia"/>
          <w:highlight w:val="none"/>
          <w:lang w:val="en-US" w:eastAsia="zh-CN"/>
        </w:rPr>
        <w:t>19.</w:t>
      </w:r>
      <w:r>
        <w:rPr>
          <w:rFonts w:hint="eastAsia"/>
          <w:highlight w:val="none"/>
          <w:lang w:eastAsia="zh-CN"/>
        </w:rPr>
        <w:t>《农村生活污水处理导则》（GB/T37071-2018）</w:t>
      </w:r>
    </w:p>
    <w:p>
      <w:pPr>
        <w:pStyle w:val="2"/>
        <w:ind w:firstLine="560"/>
        <w:rPr>
          <w:rFonts w:hint="eastAsia"/>
          <w:highlight w:val="none"/>
          <w:lang w:eastAsia="zh-CN"/>
        </w:rPr>
      </w:pPr>
      <w:r>
        <w:rPr>
          <w:rFonts w:hint="eastAsia"/>
          <w:highlight w:val="none"/>
          <w:lang w:val="en-US" w:eastAsia="zh-CN"/>
        </w:rPr>
        <w:t>20.</w:t>
      </w:r>
      <w:r>
        <w:rPr>
          <w:rFonts w:hint="eastAsia"/>
          <w:highlight w:val="none"/>
          <w:lang w:eastAsia="zh-CN"/>
        </w:rPr>
        <w:t>《农村生活污水处理设施污染物排放标准》（DB23/T2456-2019）</w:t>
      </w:r>
    </w:p>
    <w:p>
      <w:pPr>
        <w:pStyle w:val="2"/>
        <w:ind w:firstLine="560"/>
        <w:rPr>
          <w:rFonts w:hint="eastAsia"/>
          <w:szCs w:val="28"/>
          <w:highlight w:val="none"/>
        </w:rPr>
      </w:pPr>
      <w:r>
        <w:rPr>
          <w:rFonts w:hint="eastAsia"/>
          <w:szCs w:val="28"/>
          <w:highlight w:val="none"/>
          <w:lang w:val="en-US" w:eastAsia="zh-CN"/>
        </w:rPr>
        <w:t>21</w:t>
      </w:r>
      <w:r>
        <w:rPr>
          <w:rFonts w:hint="eastAsia"/>
          <w:highlight w:val="none"/>
          <w:lang w:val="en-US" w:eastAsia="zh-CN"/>
        </w:rPr>
        <w:t>.</w:t>
      </w:r>
      <w:r>
        <w:rPr>
          <w:rFonts w:hint="eastAsia"/>
          <w:szCs w:val="28"/>
          <w:highlight w:val="none"/>
        </w:rPr>
        <w:t>《全国县域农村生活污水治理专项规划编制指南》（2019年5月）</w:t>
      </w:r>
    </w:p>
    <w:p>
      <w:pPr>
        <w:pStyle w:val="2"/>
        <w:ind w:firstLine="560"/>
        <w:rPr>
          <w:rFonts w:hint="eastAsia"/>
          <w:highlight w:val="none"/>
          <w:lang w:eastAsia="zh-CN"/>
        </w:rPr>
      </w:pPr>
      <w:r>
        <w:rPr>
          <w:rFonts w:hint="eastAsia"/>
          <w:szCs w:val="28"/>
          <w:highlight w:val="none"/>
          <w:lang w:val="en-US" w:eastAsia="zh-CN"/>
        </w:rPr>
        <w:t>22</w:t>
      </w:r>
      <w:r>
        <w:rPr>
          <w:rFonts w:hint="eastAsia"/>
          <w:szCs w:val="28"/>
          <w:highlight w:val="none"/>
        </w:rPr>
        <w:t>．</w:t>
      </w:r>
      <w:r>
        <w:rPr>
          <w:rFonts w:hint="eastAsia"/>
          <w:highlight w:val="none"/>
          <w:lang w:eastAsia="zh-CN"/>
        </w:rPr>
        <w:t>《黑龙江省县域农村生活污水治理专项规划编制纲要（黑环发〔2019〕154 号）》</w:t>
      </w:r>
    </w:p>
    <w:p>
      <w:pPr>
        <w:pStyle w:val="7"/>
        <w:bidi w:val="0"/>
        <w:rPr>
          <w:rFonts w:hint="eastAsia"/>
        </w:rPr>
      </w:pPr>
      <w:r>
        <w:rPr>
          <w:rFonts w:hint="eastAsia"/>
        </w:rPr>
        <w:t>1</w:t>
      </w:r>
      <w:r>
        <w:t>.4.3</w:t>
      </w:r>
      <w:r>
        <w:rPr>
          <w:rFonts w:hint="eastAsia"/>
        </w:rPr>
        <w:t xml:space="preserve"> </w:t>
      </w:r>
      <w:r>
        <w:t xml:space="preserve"> </w:t>
      </w:r>
      <w:r>
        <w:rPr>
          <w:rFonts w:hint="eastAsia"/>
        </w:rPr>
        <w:t>相关规划</w:t>
      </w:r>
    </w:p>
    <w:p>
      <w:pPr>
        <w:pStyle w:val="2"/>
        <w:ind w:firstLine="560"/>
        <w:rPr>
          <w:rFonts w:hint="eastAsia"/>
          <w:szCs w:val="28"/>
        </w:rPr>
      </w:pPr>
      <w:r>
        <w:rPr>
          <w:rFonts w:hint="eastAsia"/>
          <w:szCs w:val="28"/>
          <w:lang w:val="en-US" w:eastAsia="zh-CN"/>
        </w:rPr>
        <w:t>1</w:t>
      </w:r>
      <w:r>
        <w:rPr>
          <w:rFonts w:hint="eastAsia"/>
          <w:szCs w:val="28"/>
        </w:rPr>
        <w:t>．《黑龙江省生态环境保护“十三五”规划》（黑政发〔2016〕47 号）</w:t>
      </w:r>
    </w:p>
    <w:p>
      <w:pPr>
        <w:pStyle w:val="2"/>
        <w:ind w:firstLine="560"/>
        <w:rPr>
          <w:rFonts w:hint="eastAsia"/>
          <w:szCs w:val="28"/>
        </w:rPr>
      </w:pPr>
      <w:r>
        <w:rPr>
          <w:rFonts w:hint="eastAsia"/>
          <w:szCs w:val="28"/>
          <w:lang w:val="en-US" w:eastAsia="zh-CN"/>
        </w:rPr>
        <w:t>2</w:t>
      </w:r>
      <w:r>
        <w:rPr>
          <w:rFonts w:hint="eastAsia"/>
          <w:szCs w:val="28"/>
        </w:rPr>
        <w:t>．黑龙江省住建厅、发改委关于印发《黑龙江省城镇污水处理设施建设“十三五”规划》的通知（黑发改环资〔2018〕86 号）</w:t>
      </w:r>
    </w:p>
    <w:p>
      <w:pPr>
        <w:pStyle w:val="2"/>
        <w:ind w:firstLine="560"/>
        <w:rPr>
          <w:rFonts w:hint="eastAsia"/>
          <w:highlight w:val="yellow"/>
        </w:rPr>
      </w:pPr>
      <w:r>
        <w:rPr>
          <w:rFonts w:hint="eastAsia"/>
          <w:szCs w:val="28"/>
          <w:lang w:val="en-US" w:eastAsia="zh-CN"/>
        </w:rPr>
        <w:t>3</w:t>
      </w:r>
      <w:r>
        <w:rPr>
          <w:rFonts w:hint="eastAsia"/>
          <w:szCs w:val="28"/>
        </w:rPr>
        <w:t>．黑龙江省</w:t>
      </w:r>
      <w:r>
        <w:rPr>
          <w:rFonts w:hint="eastAsia"/>
          <w:szCs w:val="28"/>
          <w:lang w:val="en-US" w:eastAsia="zh-CN"/>
        </w:rPr>
        <w:t>伊春市城市</w:t>
      </w:r>
      <w:r>
        <w:rPr>
          <w:rFonts w:hint="eastAsia"/>
          <w:szCs w:val="28"/>
        </w:rPr>
        <w:t>总体规划</w:t>
      </w:r>
    </w:p>
    <w:p>
      <w:pPr>
        <w:pStyle w:val="7"/>
        <w:bidi w:val="0"/>
        <w:rPr>
          <w:rFonts w:hint="eastAsia"/>
        </w:rPr>
      </w:pPr>
      <w:r>
        <w:rPr>
          <w:rFonts w:hint="eastAsia"/>
        </w:rPr>
        <w:t>1</w:t>
      </w:r>
      <w:r>
        <w:t xml:space="preserve">.4.4  </w:t>
      </w:r>
      <w:r>
        <w:rPr>
          <w:rFonts w:hint="eastAsia"/>
        </w:rPr>
        <w:t>其他资料</w:t>
      </w:r>
    </w:p>
    <w:p>
      <w:pPr>
        <w:pStyle w:val="2"/>
        <w:ind w:firstLine="560"/>
        <w:rPr>
          <w:rFonts w:hint="eastAsia" w:eastAsia="宋体"/>
          <w:szCs w:val="28"/>
          <w:highlight w:val="none"/>
          <w:lang w:val="en-US" w:eastAsia="zh-CN"/>
        </w:rPr>
      </w:pPr>
      <w:bookmarkStart w:id="40" w:name="_Toc21413_WPSOffice_Level2"/>
      <w:bookmarkStart w:id="41" w:name="_Toc4260_WPSOffice_Level2"/>
      <w:bookmarkStart w:id="42" w:name="_Toc12851"/>
      <w:bookmarkStart w:id="43" w:name="_Toc6220_WPSOffice_Level2"/>
      <w:bookmarkStart w:id="44" w:name="_Toc22760"/>
      <w:r>
        <w:rPr>
          <w:rFonts w:hint="eastAsia"/>
          <w:szCs w:val="28"/>
          <w:highlight w:val="none"/>
          <w:lang w:val="en-US" w:eastAsia="zh-CN"/>
        </w:rPr>
        <w:t>1</w:t>
      </w:r>
      <w:r>
        <w:rPr>
          <w:rFonts w:hint="eastAsia"/>
          <w:szCs w:val="28"/>
          <w:highlight w:val="none"/>
        </w:rPr>
        <w:t>．</w:t>
      </w:r>
      <w:r>
        <w:rPr>
          <w:rFonts w:hint="eastAsia"/>
          <w:szCs w:val="28"/>
          <w:highlight w:val="none"/>
          <w:lang w:eastAsia="zh-CN"/>
        </w:rPr>
        <w:t>《</w:t>
      </w:r>
      <w:r>
        <w:rPr>
          <w:rFonts w:hint="eastAsia"/>
          <w:szCs w:val="28"/>
          <w:highlight w:val="none"/>
        </w:rPr>
        <w:t>黑龙江省伊春市友好区地下水饮用水水源保护区划分技术报告</w:t>
      </w:r>
      <w:r>
        <w:rPr>
          <w:rFonts w:hint="eastAsia"/>
          <w:szCs w:val="28"/>
          <w:highlight w:val="none"/>
          <w:lang w:eastAsia="zh-CN"/>
        </w:rPr>
        <w:t>》</w:t>
      </w:r>
    </w:p>
    <w:p>
      <w:pPr>
        <w:pStyle w:val="2"/>
        <w:ind w:firstLine="560"/>
        <w:rPr>
          <w:rFonts w:hint="eastAsia"/>
          <w:szCs w:val="28"/>
          <w:highlight w:val="none"/>
        </w:rPr>
      </w:pPr>
      <w:r>
        <w:rPr>
          <w:rFonts w:hint="eastAsia"/>
          <w:szCs w:val="28"/>
          <w:highlight w:val="none"/>
          <w:lang w:val="en-US" w:eastAsia="zh-CN"/>
        </w:rPr>
        <w:t>2</w:t>
      </w:r>
      <w:r>
        <w:rPr>
          <w:rFonts w:hint="eastAsia"/>
          <w:szCs w:val="28"/>
          <w:highlight w:val="none"/>
        </w:rPr>
        <w:t>．《重点流域水污染防治规划黑龙江省实施方案（2018-2020年）》</w:t>
      </w:r>
    </w:p>
    <w:p>
      <w:pPr>
        <w:pStyle w:val="2"/>
        <w:ind w:firstLine="560"/>
        <w:rPr>
          <w:rFonts w:hint="default" w:eastAsia="宋体"/>
          <w:szCs w:val="28"/>
          <w:highlight w:val="none"/>
          <w:lang w:val="en-US" w:eastAsia="zh-CN"/>
        </w:rPr>
      </w:pPr>
      <w:r>
        <w:rPr>
          <w:rFonts w:hint="eastAsia"/>
          <w:szCs w:val="28"/>
          <w:highlight w:val="none"/>
          <w:lang w:val="en-US" w:eastAsia="zh-CN"/>
        </w:rPr>
        <w:t>3</w:t>
      </w:r>
      <w:r>
        <w:rPr>
          <w:rFonts w:hint="eastAsia"/>
          <w:szCs w:val="28"/>
          <w:highlight w:val="none"/>
        </w:rPr>
        <w:t>．</w:t>
      </w:r>
      <w:r>
        <w:rPr>
          <w:rStyle w:val="56"/>
          <w:rFonts w:hint="eastAsia"/>
          <w:lang w:val="en-US" w:eastAsia="zh-CN"/>
        </w:rPr>
        <w:t>《</w:t>
      </w:r>
      <w:r>
        <w:rPr>
          <w:rStyle w:val="56"/>
          <w:rFonts w:hint="eastAsia"/>
        </w:rPr>
        <w:t>中华人民共和国生态环境部办公厅关于答复全国集中式饮用水水源地环境保护专项行动有关问题的函</w:t>
      </w:r>
      <w:r>
        <w:rPr>
          <w:rStyle w:val="56"/>
          <w:rFonts w:hint="eastAsia"/>
          <w:lang w:eastAsia="zh-CN"/>
        </w:rPr>
        <w:t>》</w:t>
      </w:r>
      <w:r>
        <w:rPr>
          <w:rStyle w:val="56"/>
          <w:rFonts w:hint="eastAsia"/>
          <w:lang w:val="en-US" w:eastAsia="zh-CN"/>
        </w:rPr>
        <w:t>环办环监函【2018】767号文件</w:t>
      </w:r>
    </w:p>
    <w:p>
      <w:pPr>
        <w:pStyle w:val="7"/>
        <w:outlineLvl w:val="1"/>
      </w:pPr>
      <w:bookmarkStart w:id="45" w:name="_Toc21985"/>
      <w:bookmarkStart w:id="46" w:name="_Toc4489"/>
      <w:bookmarkStart w:id="47" w:name="_Toc16227"/>
      <w:r>
        <w:rPr>
          <w:rFonts w:hint="eastAsia"/>
        </w:rPr>
        <w:t>1</w:t>
      </w:r>
      <w:r>
        <w:t>.</w:t>
      </w:r>
      <w:r>
        <w:rPr>
          <w:rFonts w:hint="eastAsia"/>
        </w:rPr>
        <w:t>5规划范围</w:t>
      </w:r>
      <w:bookmarkEnd w:id="40"/>
      <w:bookmarkEnd w:id="41"/>
      <w:bookmarkEnd w:id="42"/>
      <w:bookmarkEnd w:id="43"/>
      <w:bookmarkEnd w:id="44"/>
      <w:bookmarkEnd w:id="45"/>
      <w:bookmarkEnd w:id="46"/>
      <w:bookmarkEnd w:id="47"/>
    </w:p>
    <w:p>
      <w:pPr>
        <w:pStyle w:val="2"/>
        <w:ind w:firstLine="560"/>
        <w:rPr>
          <w:highlight w:val="none"/>
        </w:rPr>
      </w:pPr>
      <w:r>
        <w:rPr>
          <w:rFonts w:hint="eastAsia"/>
          <w:highlight w:val="none"/>
        </w:rPr>
        <w:t>本次规划的范围为</w:t>
      </w:r>
      <w:r>
        <w:rPr>
          <w:rFonts w:hint="eastAsia"/>
          <w:highlight w:val="none"/>
          <w:lang w:eastAsia="zh-CN"/>
        </w:rPr>
        <w:t>友好区</w:t>
      </w:r>
      <w:r>
        <w:rPr>
          <w:rFonts w:hint="eastAsia"/>
          <w:highlight w:val="none"/>
        </w:rPr>
        <w:t>的行政管辖区域，结合</w:t>
      </w:r>
      <w:r>
        <w:rPr>
          <w:rFonts w:hint="eastAsia"/>
          <w:highlight w:val="none"/>
          <w:lang w:eastAsia="zh-CN"/>
        </w:rPr>
        <w:t>友好区</w:t>
      </w:r>
      <w:r>
        <w:rPr>
          <w:rFonts w:hint="eastAsia"/>
          <w:highlight w:val="none"/>
        </w:rPr>
        <w:t>村庄布局及相关发展规划的现状，针对</w:t>
      </w:r>
      <w:r>
        <w:rPr>
          <w:rFonts w:hint="eastAsia"/>
          <w:highlight w:val="none"/>
          <w:lang w:eastAsia="zh-CN"/>
        </w:rPr>
        <w:t>友好区</w:t>
      </w:r>
      <w:r>
        <w:rPr>
          <w:rFonts w:hint="eastAsia"/>
          <w:highlight w:val="none"/>
        </w:rPr>
        <w:t>行政管辖区域的村庄划定近期规划范围及远期规划范围，其中：</w:t>
      </w:r>
    </w:p>
    <w:p>
      <w:pPr>
        <w:pStyle w:val="2"/>
        <w:ind w:firstLine="560"/>
        <w:rPr>
          <w:rFonts w:hint="eastAsia" w:eastAsia="宋体"/>
          <w:highlight w:val="none"/>
          <w:lang w:eastAsia="zh-CN"/>
        </w:rPr>
      </w:pPr>
      <w:r>
        <w:rPr>
          <w:rFonts w:hint="eastAsia"/>
          <w:highlight w:val="none"/>
        </w:rPr>
        <w:t>近期规划范围：</w:t>
      </w:r>
      <w:r>
        <w:rPr>
          <w:rFonts w:hint="eastAsia"/>
        </w:rPr>
        <w:t>有县级以上</w:t>
      </w:r>
      <w:r>
        <w:t>饮用水水</w:t>
      </w:r>
      <w:r>
        <w:rPr>
          <w:rFonts w:hint="eastAsia"/>
        </w:rPr>
        <w:t>源地保</w:t>
      </w:r>
      <w:r>
        <w:t>护区</w:t>
      </w:r>
      <w:r>
        <w:rPr>
          <w:rFonts w:hint="eastAsia"/>
        </w:rPr>
        <w:t>、自然保护区、风景名胜区内的村庄，旅游景区及周边的村庄，乡镇1000人以上水源地1k</w:t>
      </w:r>
      <w:r>
        <w:t>m</w:t>
      </w:r>
      <w:r>
        <w:rPr>
          <w:rFonts w:hint="eastAsia"/>
        </w:rPr>
        <w:t>范围内的村庄，重点流域（乌裕尔河、阿什河、呼兰河、肇兰新河、倭肯河、穆棱河、拉林河和讷谟尔河）沿岸1</w:t>
      </w:r>
      <w:r>
        <w:t>km</w:t>
      </w:r>
      <w:r>
        <w:rPr>
          <w:rFonts w:hint="eastAsia"/>
        </w:rPr>
        <w:t>范围内的村庄，城乡结合部可就近纳管（3km范围内）的村庄，改成水冲式厕所的村庄，人口较为集中、具备产业支撑的村庄，发展农家乐、民宿等乡村旅游的村庄，水体发生黑臭以及水质需要改善控制单元内的村庄</w:t>
      </w:r>
      <w:r>
        <w:rPr>
          <w:rFonts w:hint="eastAsia"/>
          <w:lang w:eastAsia="zh-CN"/>
        </w:rPr>
        <w:t>，</w:t>
      </w:r>
      <w:r>
        <w:rPr>
          <w:rFonts w:hint="eastAsia"/>
          <w:lang w:val="en-US" w:eastAsia="zh-CN"/>
        </w:rPr>
        <w:t>在上述村庄中选取部分重点村屯</w:t>
      </w:r>
      <w:r>
        <w:rPr>
          <w:rFonts w:hint="eastAsia"/>
          <w:highlight w:val="none"/>
          <w:lang w:eastAsia="zh-CN"/>
        </w:rPr>
        <w:t>；</w:t>
      </w:r>
    </w:p>
    <w:p>
      <w:pPr>
        <w:pStyle w:val="2"/>
        <w:ind w:firstLine="560"/>
        <w:rPr>
          <w:rFonts w:hint="default" w:eastAsia="宋体"/>
          <w:highlight w:val="none"/>
          <w:lang w:val="en-US" w:eastAsia="zh-CN"/>
        </w:rPr>
      </w:pPr>
      <w:r>
        <w:rPr>
          <w:rFonts w:hint="eastAsia"/>
          <w:highlight w:val="none"/>
          <w:lang w:val="en-US" w:eastAsia="zh-CN"/>
        </w:rPr>
        <w:t>远期规划范围：</w:t>
      </w:r>
      <w:r>
        <w:rPr>
          <w:rFonts w:hint="eastAsia"/>
        </w:rPr>
        <w:t>远期</w:t>
      </w:r>
      <w:r>
        <w:t>覆盖</w:t>
      </w:r>
      <w:r>
        <w:rPr>
          <w:rFonts w:hint="eastAsia"/>
          <w:lang w:val="en-US" w:eastAsia="zh-CN"/>
        </w:rPr>
        <w:t>区</w:t>
      </w:r>
      <w:r>
        <w:rPr>
          <w:rFonts w:hint="eastAsia"/>
        </w:rPr>
        <w:t>域内全</w:t>
      </w:r>
      <w:r>
        <w:t>部</w:t>
      </w:r>
      <w:r>
        <w:rPr>
          <w:rFonts w:hint="eastAsia"/>
        </w:rPr>
        <w:t>村庄</w:t>
      </w:r>
      <w:r>
        <w:t>的生活污水</w:t>
      </w:r>
      <w:r>
        <w:rPr>
          <w:rFonts w:hint="eastAsia"/>
          <w:highlight w:val="none"/>
          <w:lang w:val="en-US" w:eastAsia="zh-CN"/>
        </w:rPr>
        <w:t>。</w:t>
      </w:r>
    </w:p>
    <w:p>
      <w:pPr>
        <w:pStyle w:val="7"/>
        <w:outlineLvl w:val="1"/>
        <w:rPr>
          <w:highlight w:val="none"/>
        </w:rPr>
      </w:pPr>
      <w:bookmarkStart w:id="48" w:name="_Toc26639_WPSOffice_Level2"/>
      <w:bookmarkStart w:id="49" w:name="_Toc18203"/>
      <w:bookmarkStart w:id="50" w:name="_Toc31352_WPSOffice_Level2"/>
      <w:bookmarkStart w:id="51" w:name="_Toc4327_WPSOffice_Level3"/>
      <w:bookmarkStart w:id="52" w:name="_Toc24575"/>
      <w:bookmarkStart w:id="53" w:name="_Toc12920"/>
      <w:bookmarkStart w:id="54" w:name="_Toc8568"/>
      <w:bookmarkStart w:id="55" w:name="_Toc5278"/>
      <w:r>
        <w:rPr>
          <w:rFonts w:hint="eastAsia"/>
          <w:highlight w:val="none"/>
        </w:rPr>
        <w:t>1</w:t>
      </w:r>
      <w:r>
        <w:rPr>
          <w:highlight w:val="none"/>
        </w:rPr>
        <w:t>.</w:t>
      </w:r>
      <w:r>
        <w:rPr>
          <w:rFonts w:hint="eastAsia"/>
          <w:highlight w:val="none"/>
        </w:rPr>
        <w:t>6规划期限</w:t>
      </w:r>
      <w:bookmarkEnd w:id="48"/>
      <w:bookmarkEnd w:id="49"/>
      <w:bookmarkEnd w:id="50"/>
      <w:bookmarkEnd w:id="51"/>
      <w:bookmarkEnd w:id="52"/>
      <w:bookmarkEnd w:id="53"/>
      <w:bookmarkEnd w:id="54"/>
      <w:bookmarkEnd w:id="55"/>
    </w:p>
    <w:p>
      <w:pPr>
        <w:pStyle w:val="2"/>
        <w:adjustRightInd w:val="0"/>
        <w:snapToGrid w:val="0"/>
        <w:spacing w:line="540" w:lineRule="atLeast"/>
        <w:ind w:firstLine="560"/>
        <w:rPr>
          <w:rFonts w:hint="eastAsia"/>
          <w:szCs w:val="28"/>
          <w:highlight w:val="none"/>
        </w:rPr>
      </w:pPr>
      <w:bookmarkStart w:id="56" w:name="_Toc18377_WPSOffice_Level2"/>
      <w:bookmarkStart w:id="57" w:name="_Toc17264_WPSOffice_Level2"/>
      <w:bookmarkStart w:id="58" w:name="_Toc27852_WPSOffice_Level2"/>
      <w:bookmarkStart w:id="59" w:name="_Toc14737"/>
      <w:r>
        <w:rPr>
          <w:rFonts w:hint="eastAsia"/>
          <w:szCs w:val="28"/>
          <w:highlight w:val="none"/>
        </w:rPr>
        <w:t xml:space="preserve">近期 </w:t>
      </w:r>
      <w:r>
        <w:rPr>
          <w:szCs w:val="28"/>
          <w:highlight w:val="none"/>
        </w:rPr>
        <w:t>20</w:t>
      </w:r>
      <w:r>
        <w:rPr>
          <w:rFonts w:hint="eastAsia"/>
          <w:szCs w:val="28"/>
          <w:highlight w:val="none"/>
        </w:rPr>
        <w:t>20</w:t>
      </w:r>
      <w:r>
        <w:rPr>
          <w:szCs w:val="28"/>
          <w:highlight w:val="none"/>
        </w:rPr>
        <w:t>-202</w:t>
      </w:r>
      <w:r>
        <w:rPr>
          <w:rFonts w:hint="eastAsia"/>
          <w:szCs w:val="28"/>
          <w:highlight w:val="none"/>
          <w:lang w:val="en-US" w:eastAsia="zh-CN"/>
        </w:rPr>
        <w:t>4</w:t>
      </w:r>
      <w:r>
        <w:rPr>
          <w:rFonts w:hint="eastAsia"/>
          <w:szCs w:val="28"/>
          <w:highlight w:val="none"/>
        </w:rPr>
        <w:t>年</w:t>
      </w:r>
    </w:p>
    <w:p>
      <w:pPr>
        <w:pStyle w:val="2"/>
        <w:adjustRightInd w:val="0"/>
        <w:snapToGrid w:val="0"/>
        <w:spacing w:line="540" w:lineRule="atLeast"/>
        <w:ind w:firstLine="560"/>
        <w:rPr>
          <w:rFonts w:hint="default" w:eastAsia="宋体"/>
          <w:szCs w:val="28"/>
          <w:highlight w:val="none"/>
          <w:lang w:val="en-US" w:eastAsia="zh-CN"/>
        </w:rPr>
      </w:pPr>
      <w:r>
        <w:rPr>
          <w:rFonts w:hint="eastAsia"/>
          <w:szCs w:val="28"/>
          <w:highlight w:val="none"/>
          <w:lang w:val="en-US" w:eastAsia="zh-CN"/>
        </w:rPr>
        <w:t>远期 2025-2030年</w:t>
      </w:r>
    </w:p>
    <w:p>
      <w:pPr>
        <w:pStyle w:val="7"/>
        <w:outlineLvl w:val="1"/>
        <w:rPr>
          <w:highlight w:val="none"/>
        </w:rPr>
      </w:pPr>
      <w:bookmarkStart w:id="60" w:name="_Toc28171"/>
      <w:bookmarkStart w:id="61" w:name="_Toc2279"/>
      <w:bookmarkStart w:id="62" w:name="_Toc26560"/>
      <w:bookmarkStart w:id="63" w:name="_Toc6376"/>
      <w:r>
        <w:rPr>
          <w:rFonts w:hint="eastAsia"/>
          <w:highlight w:val="none"/>
        </w:rPr>
        <w:t>1</w:t>
      </w:r>
      <w:r>
        <w:rPr>
          <w:highlight w:val="none"/>
        </w:rPr>
        <w:t>.</w:t>
      </w:r>
      <w:r>
        <w:rPr>
          <w:rFonts w:hint="eastAsia"/>
          <w:highlight w:val="none"/>
        </w:rPr>
        <w:t>7规划目标</w:t>
      </w:r>
      <w:bookmarkEnd w:id="56"/>
      <w:bookmarkEnd w:id="57"/>
      <w:bookmarkEnd w:id="58"/>
      <w:bookmarkEnd w:id="59"/>
      <w:bookmarkEnd w:id="60"/>
      <w:bookmarkEnd w:id="61"/>
      <w:bookmarkEnd w:id="62"/>
      <w:bookmarkEnd w:id="63"/>
    </w:p>
    <w:p>
      <w:pPr>
        <w:pStyle w:val="2"/>
        <w:ind w:firstLine="640"/>
        <w:rPr>
          <w:highlight w:val="none"/>
        </w:rPr>
      </w:pPr>
      <w:r>
        <w:rPr>
          <w:rFonts w:hint="eastAsia"/>
          <w:highlight w:val="none"/>
          <w:lang w:val="en-US" w:eastAsia="zh-CN"/>
        </w:rPr>
        <w:t>贯</w:t>
      </w:r>
      <w:r>
        <w:rPr>
          <w:rFonts w:hint="eastAsia"/>
          <w:highlight w:val="none"/>
        </w:rPr>
        <w:t>彻落实科学发展观，稳步推进新农村建设，提高农村生活污水的收集治理率，实现</w:t>
      </w:r>
      <w:r>
        <w:rPr>
          <w:rFonts w:hint="eastAsia"/>
          <w:highlight w:val="none"/>
          <w:lang w:eastAsia="zh-CN"/>
        </w:rPr>
        <w:t>友好区</w:t>
      </w:r>
      <w:r>
        <w:rPr>
          <w:rFonts w:hint="eastAsia"/>
          <w:highlight w:val="none"/>
        </w:rPr>
        <w:t>农村地区水环境的基本改善，全面解决农村生活污水治理问题，改善农村人居环境，提升农村居民生活质量。</w:t>
      </w:r>
    </w:p>
    <w:p>
      <w:pPr>
        <w:pStyle w:val="2"/>
        <w:ind w:firstLine="560"/>
        <w:rPr>
          <w:highlight w:val="none"/>
        </w:rPr>
      </w:pPr>
      <w:r>
        <w:rPr>
          <w:rFonts w:hint="eastAsia"/>
          <w:highlight w:val="none"/>
        </w:rPr>
        <w:t>其中自建污水处理设施村屯满足《农村生活污水处理设施水污染物排放标准》要求，进厂集中处理的出水水质满足相应接管标准。</w:t>
      </w:r>
    </w:p>
    <w:p>
      <w:pPr>
        <w:pStyle w:val="2"/>
        <w:ind w:firstLine="560"/>
        <w:rPr>
          <w:highlight w:val="none"/>
        </w:rPr>
      </w:pPr>
      <w:r>
        <w:rPr>
          <w:rFonts w:hint="eastAsia"/>
          <w:highlight w:val="none"/>
        </w:rPr>
        <w:t>——至202</w:t>
      </w:r>
      <w:r>
        <w:rPr>
          <w:rFonts w:hint="eastAsia"/>
          <w:highlight w:val="none"/>
          <w:lang w:val="en-US" w:eastAsia="zh-CN"/>
        </w:rPr>
        <w:t>4</w:t>
      </w:r>
      <w:r>
        <w:rPr>
          <w:rFonts w:hint="eastAsia"/>
          <w:highlight w:val="none"/>
        </w:rPr>
        <w:t>年底，完成</w:t>
      </w:r>
      <w:r>
        <w:rPr>
          <w:rFonts w:hint="eastAsia"/>
          <w:highlight w:val="none"/>
          <w:lang w:val="en-US" w:eastAsia="zh-CN"/>
        </w:rPr>
        <w:t>9</w:t>
      </w:r>
      <w:r>
        <w:rPr>
          <w:rFonts w:hint="eastAsia"/>
          <w:highlight w:val="none"/>
        </w:rPr>
        <w:t>个村整村污水治理设施建设工作，实现农村生活污水处理率1</w:t>
      </w:r>
      <w:r>
        <w:rPr>
          <w:highlight w:val="none"/>
        </w:rPr>
        <w:t>00</w:t>
      </w:r>
      <w:r>
        <w:rPr>
          <w:rFonts w:hint="eastAsia"/>
          <w:highlight w:val="none"/>
        </w:rPr>
        <w:t>%。</w:t>
      </w:r>
    </w:p>
    <w:p>
      <w:pPr>
        <w:pStyle w:val="24"/>
        <w:bidi w:val="0"/>
      </w:pPr>
      <w:r>
        <w:rPr>
          <w:rFonts w:hint="eastAsia"/>
        </w:rPr>
        <w:t>表1-</w:t>
      </w:r>
      <w:r>
        <w:rPr>
          <w:rFonts w:hint="eastAsia"/>
          <w:lang w:val="en-US" w:eastAsia="zh-CN"/>
        </w:rPr>
        <w:t>1</w:t>
      </w:r>
      <w:r>
        <w:t xml:space="preserve">   </w:t>
      </w:r>
      <w:r>
        <w:rPr>
          <w:rFonts w:hint="eastAsia"/>
        </w:rPr>
        <w:t>规划目标</w:t>
      </w:r>
    </w:p>
    <w:tbl>
      <w:tblPr>
        <w:tblStyle w:val="41"/>
        <w:tblW w:w="37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6"/>
        <w:gridCol w:w="2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33" w:type="pct"/>
            <w:noWrap w:val="0"/>
            <w:vAlign w:val="top"/>
          </w:tcPr>
          <w:p>
            <w:pPr>
              <w:pStyle w:val="25"/>
              <w:bidi w:val="0"/>
              <w:rPr>
                <w:rFonts w:hint="eastAsia"/>
              </w:rPr>
            </w:pPr>
            <w:r>
              <w:rPr>
                <w:rFonts w:hint="eastAsia"/>
              </w:rPr>
              <w:t>规划指标</w:t>
            </w:r>
          </w:p>
        </w:tc>
        <w:tc>
          <w:tcPr>
            <w:tcW w:w="1666" w:type="pct"/>
            <w:noWrap w:val="0"/>
            <w:vAlign w:val="top"/>
          </w:tcPr>
          <w:p>
            <w:pPr>
              <w:pStyle w:val="25"/>
              <w:bidi w:val="0"/>
            </w:pPr>
            <w:r>
              <w:rPr>
                <w:rFonts w:hint="eastAsia"/>
              </w:rPr>
              <w:t>近期目标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33" w:type="pct"/>
            <w:noWrap w:val="0"/>
            <w:vAlign w:val="top"/>
          </w:tcPr>
          <w:p>
            <w:pPr>
              <w:pStyle w:val="25"/>
              <w:bidi w:val="0"/>
            </w:pPr>
            <w:r>
              <w:rPr>
                <w:rFonts w:hint="eastAsia"/>
              </w:rPr>
              <w:t>农村生活污水治理的村庄数</w:t>
            </w:r>
          </w:p>
        </w:tc>
        <w:tc>
          <w:tcPr>
            <w:tcW w:w="1666" w:type="pct"/>
            <w:noWrap w:val="0"/>
            <w:vAlign w:val="top"/>
          </w:tcPr>
          <w:p>
            <w:pPr>
              <w:pStyle w:val="25"/>
              <w:bidi w:val="0"/>
              <w:rPr>
                <w:rFonts w:hint="default"/>
                <w:highlight w:val="none"/>
                <w:lang w:val="en-US" w:eastAsia="zh-CN"/>
              </w:rPr>
            </w:pPr>
            <w:r>
              <w:rPr>
                <w:rFonts w:hint="eastAsia"/>
                <w:highlight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33" w:type="pct"/>
            <w:noWrap w:val="0"/>
            <w:vAlign w:val="top"/>
          </w:tcPr>
          <w:p>
            <w:pPr>
              <w:pStyle w:val="25"/>
              <w:bidi w:val="0"/>
              <w:rPr>
                <w:rFonts w:hint="eastAsia"/>
              </w:rPr>
            </w:pPr>
            <w:r>
              <w:rPr>
                <w:rFonts w:hint="eastAsia"/>
              </w:rPr>
              <w:t>农村生活污水治理的村庄覆盖率</w:t>
            </w:r>
          </w:p>
        </w:tc>
        <w:tc>
          <w:tcPr>
            <w:tcW w:w="1666" w:type="pct"/>
            <w:noWrap w:val="0"/>
            <w:vAlign w:val="top"/>
          </w:tcPr>
          <w:p>
            <w:pPr>
              <w:pStyle w:val="25"/>
              <w:bidi w:val="0"/>
              <w:rPr>
                <w:highlight w:val="none"/>
              </w:rPr>
            </w:pPr>
            <w:r>
              <w:rPr>
                <w:rFonts w:hint="eastAsia"/>
                <w:highlight w:val="none"/>
                <w:lang w:val="en-US" w:eastAsia="zh-CN"/>
              </w:rPr>
              <w:t>100</w:t>
            </w:r>
            <w:r>
              <w:rPr>
                <w:rFonts w:hint="eastAsia"/>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33" w:type="pct"/>
            <w:noWrap w:val="0"/>
            <w:vAlign w:val="top"/>
          </w:tcPr>
          <w:p>
            <w:pPr>
              <w:pStyle w:val="25"/>
              <w:bidi w:val="0"/>
              <w:rPr>
                <w:rFonts w:hint="eastAsia"/>
              </w:rPr>
            </w:pPr>
            <w:r>
              <w:rPr>
                <w:rFonts w:hint="eastAsia"/>
              </w:rPr>
              <w:t>农村生活污水治理的农户数</w:t>
            </w:r>
          </w:p>
        </w:tc>
        <w:tc>
          <w:tcPr>
            <w:tcW w:w="1666" w:type="pct"/>
            <w:noWrap w:val="0"/>
            <w:vAlign w:val="top"/>
          </w:tcPr>
          <w:p>
            <w:pPr>
              <w:pStyle w:val="25"/>
              <w:bidi w:val="0"/>
              <w:rPr>
                <w:rFonts w:hint="default"/>
                <w:highlight w:val="none"/>
                <w:lang w:val="en-US" w:eastAsia="zh-CN"/>
              </w:rPr>
            </w:pPr>
            <w:r>
              <w:rPr>
                <w:rFonts w:hint="eastAsia"/>
                <w:highlight w:val="none"/>
                <w:lang w:val="en-US" w:eastAsia="zh-CN"/>
              </w:rPr>
              <w:t>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33" w:type="pct"/>
            <w:noWrap w:val="0"/>
            <w:vAlign w:val="top"/>
          </w:tcPr>
          <w:p>
            <w:pPr>
              <w:pStyle w:val="25"/>
              <w:bidi w:val="0"/>
              <w:rPr>
                <w:rFonts w:hint="eastAsia"/>
              </w:rPr>
            </w:pPr>
            <w:r>
              <w:rPr>
                <w:rFonts w:hint="eastAsia"/>
              </w:rPr>
              <w:t>农村生活污水治理的农户覆盖率</w:t>
            </w:r>
          </w:p>
        </w:tc>
        <w:tc>
          <w:tcPr>
            <w:tcW w:w="1666" w:type="pct"/>
            <w:noWrap w:val="0"/>
            <w:vAlign w:val="top"/>
          </w:tcPr>
          <w:p>
            <w:pPr>
              <w:pStyle w:val="25"/>
              <w:bidi w:val="0"/>
              <w:rPr>
                <w:highlight w:val="none"/>
              </w:rPr>
            </w:pPr>
            <w:r>
              <w:rPr>
                <w:rFonts w:hint="eastAsia"/>
                <w:highlight w:val="none"/>
                <w:lang w:val="en-US" w:eastAsia="zh-CN"/>
              </w:rPr>
              <w:t>100</w:t>
            </w:r>
            <w:r>
              <w:rPr>
                <w:rFonts w:hint="eastAsia"/>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33" w:type="pct"/>
            <w:noWrap w:val="0"/>
            <w:vAlign w:val="top"/>
          </w:tcPr>
          <w:p>
            <w:pPr>
              <w:pStyle w:val="25"/>
              <w:bidi w:val="0"/>
              <w:rPr>
                <w:rFonts w:hint="eastAsia"/>
              </w:rPr>
            </w:pPr>
            <w:r>
              <w:rPr>
                <w:rFonts w:hint="eastAsia"/>
              </w:rPr>
              <w:t>污水处理设施排放达标率</w:t>
            </w:r>
          </w:p>
        </w:tc>
        <w:tc>
          <w:tcPr>
            <w:tcW w:w="1666" w:type="pct"/>
            <w:noWrap w:val="0"/>
            <w:vAlign w:val="top"/>
          </w:tcPr>
          <w:p>
            <w:pPr>
              <w:pStyle w:val="25"/>
              <w:bidi w:val="0"/>
              <w:rPr>
                <w:highlight w:val="none"/>
              </w:rPr>
            </w:pPr>
            <w:r>
              <w:rPr>
                <w:rFonts w:hint="eastAsia"/>
                <w:highlight w:val="none"/>
              </w:rPr>
              <w:t>1</w:t>
            </w:r>
            <w:r>
              <w:rPr>
                <w:highlight w:val="none"/>
              </w:rPr>
              <w:t>00</w:t>
            </w:r>
            <w:r>
              <w:rPr>
                <w:rFonts w:hint="eastAsia"/>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33" w:type="pct"/>
            <w:noWrap w:val="0"/>
            <w:vAlign w:val="top"/>
          </w:tcPr>
          <w:p>
            <w:pPr>
              <w:pStyle w:val="25"/>
              <w:bidi w:val="0"/>
              <w:rPr>
                <w:rFonts w:hint="eastAsia"/>
              </w:rPr>
            </w:pPr>
            <w:r>
              <w:rPr>
                <w:rFonts w:hint="eastAsia"/>
              </w:rPr>
              <w:t>污水</w:t>
            </w:r>
            <w:r>
              <w:rPr>
                <w:rFonts w:hint="eastAsia"/>
                <w:lang w:eastAsia="zh-CN"/>
              </w:rPr>
              <w:t>有效管控</w:t>
            </w:r>
            <w:r>
              <w:rPr>
                <w:rFonts w:hint="eastAsia"/>
              </w:rPr>
              <w:t>率</w:t>
            </w:r>
          </w:p>
        </w:tc>
        <w:tc>
          <w:tcPr>
            <w:tcW w:w="1666" w:type="pct"/>
            <w:noWrap w:val="0"/>
            <w:vAlign w:val="top"/>
          </w:tcPr>
          <w:p>
            <w:pPr>
              <w:pStyle w:val="25"/>
              <w:bidi w:val="0"/>
              <w:rPr>
                <w:highlight w:val="yellow"/>
              </w:rPr>
            </w:pPr>
            <w:r>
              <w:rPr>
                <w:rFonts w:hint="eastAsia"/>
                <w:highlight w:val="none"/>
                <w:lang w:val="en-US" w:eastAsia="zh-CN"/>
              </w:rPr>
              <w:t>55.5</w:t>
            </w:r>
            <w:r>
              <w:rPr>
                <w:rFonts w:hint="eastAsia"/>
                <w:highlight w:val="none"/>
              </w:rPr>
              <w:t>%</w:t>
            </w:r>
          </w:p>
        </w:tc>
      </w:tr>
    </w:tbl>
    <w:p>
      <w:pPr>
        <w:pStyle w:val="2"/>
        <w:ind w:firstLine="560"/>
        <w:jc w:val="center"/>
        <w:rPr>
          <w:rFonts w:hint="eastAsia"/>
        </w:rPr>
      </w:pPr>
    </w:p>
    <w:p>
      <w:pPr>
        <w:jc w:val="center"/>
        <w:outlineLvl w:val="0"/>
        <w:rPr>
          <w:rFonts w:hint="eastAsia"/>
          <w:highlight w:val="none"/>
        </w:rPr>
      </w:pPr>
      <w:r>
        <w:rPr>
          <w:rFonts w:hint="eastAsia"/>
        </w:rPr>
        <w:br w:type="page"/>
      </w:r>
      <w:bookmarkStart w:id="64" w:name="_Toc8999_WPSOffice_Level1"/>
      <w:bookmarkStart w:id="65" w:name="_Toc24819"/>
      <w:bookmarkStart w:id="66" w:name="_Toc26380"/>
      <w:bookmarkStart w:id="67" w:name="_Toc27212"/>
      <w:bookmarkStart w:id="68" w:name="_Toc18808_WPSOffice_Level1"/>
      <w:bookmarkStart w:id="69" w:name="_Toc8782"/>
      <w:bookmarkStart w:id="70" w:name="_Toc3837"/>
      <w:bookmarkStart w:id="71" w:name="_Toc26520"/>
      <w:bookmarkStart w:id="72" w:name="_Toc27464_WPSOffice_Level1"/>
      <w:bookmarkStart w:id="73" w:name="_Toc10034"/>
      <w:bookmarkStart w:id="74" w:name="_Toc4071"/>
      <w:r>
        <w:rPr>
          <w:rStyle w:val="58"/>
          <w:rFonts w:hint="eastAsia"/>
          <w:highlight w:val="none"/>
        </w:rPr>
        <w:t>第二章 区域概况</w:t>
      </w:r>
      <w:bookmarkEnd w:id="64"/>
      <w:bookmarkEnd w:id="65"/>
      <w:bookmarkEnd w:id="66"/>
      <w:bookmarkEnd w:id="67"/>
      <w:bookmarkEnd w:id="68"/>
      <w:bookmarkEnd w:id="69"/>
      <w:bookmarkEnd w:id="70"/>
      <w:bookmarkEnd w:id="71"/>
      <w:bookmarkEnd w:id="72"/>
      <w:bookmarkEnd w:id="73"/>
      <w:bookmarkEnd w:id="74"/>
    </w:p>
    <w:p>
      <w:pPr>
        <w:pStyle w:val="7"/>
        <w:outlineLvl w:val="1"/>
        <w:rPr>
          <w:rFonts w:hint="eastAsia"/>
          <w:highlight w:val="none"/>
        </w:rPr>
      </w:pPr>
      <w:bookmarkStart w:id="75" w:name="_Toc24064_WPSOffice_Level2"/>
      <w:bookmarkStart w:id="76" w:name="_Toc4654"/>
      <w:bookmarkStart w:id="77" w:name="_Toc27914_WPSOffice_Level2"/>
      <w:bookmarkStart w:id="78" w:name="_Toc626_WPSOffice_Level2"/>
      <w:bookmarkStart w:id="79" w:name="_Toc5227"/>
      <w:bookmarkStart w:id="80" w:name="_Toc20308"/>
      <w:bookmarkStart w:id="81" w:name="_Toc14144"/>
      <w:bookmarkStart w:id="82" w:name="_Toc29111"/>
      <w:r>
        <w:rPr>
          <w:rFonts w:hint="eastAsia"/>
          <w:highlight w:val="none"/>
        </w:rPr>
        <w:t>2.1自然</w:t>
      </w:r>
      <w:bookmarkEnd w:id="75"/>
      <w:bookmarkEnd w:id="76"/>
      <w:bookmarkEnd w:id="77"/>
      <w:bookmarkEnd w:id="78"/>
      <w:r>
        <w:rPr>
          <w:rFonts w:hint="eastAsia"/>
          <w:highlight w:val="none"/>
        </w:rPr>
        <w:t>条件</w:t>
      </w:r>
      <w:bookmarkEnd w:id="79"/>
      <w:bookmarkEnd w:id="80"/>
      <w:bookmarkEnd w:id="81"/>
      <w:bookmarkEnd w:id="82"/>
    </w:p>
    <w:p>
      <w:pPr>
        <w:pStyle w:val="7"/>
      </w:pPr>
      <w:bookmarkStart w:id="83" w:name="_Toc13461"/>
      <w:r>
        <w:rPr>
          <w:rFonts w:hint="eastAsia"/>
        </w:rPr>
        <w:t>2.1.1地理位置</w:t>
      </w:r>
      <w:bookmarkEnd w:id="83"/>
    </w:p>
    <w:p>
      <w:pPr>
        <w:pStyle w:val="2"/>
        <w:bidi w:val="0"/>
        <w:rPr>
          <w:rFonts w:hint="default" w:ascii="Times New Roman" w:hAnsi="Times New Roman" w:cs="Times New Roman"/>
        </w:rPr>
      </w:pPr>
      <w:r>
        <w:rPr>
          <w:rFonts w:hint="default" w:ascii="Times New Roman" w:hAnsi="Times New Roman" w:cs="Times New Roman"/>
          <w:lang w:eastAsia="zh-CN"/>
        </w:rPr>
        <w:t>友好区（局）地处小兴安岭中段，位于黑龙江省伊春市政府所在地北部16公里处，横跨小兴安岭南北两坡。地理坐标东经120°07'40"至128°55'53"，北纬47°45'56"至48°33'25"。友好区（局）东西横跨52公里，南北纵越88公里。东部与五营、上甘岭区（局）相邻，南部与伊春区、乌马河区（局），翠峦区（局）接壤，西部与逊克县（沾河林业局），绥棱县（绥棱林业局）为邻；北部与逊克县和五营、上甘岭区（局）毗邻</w:t>
      </w:r>
      <w:r>
        <w:rPr>
          <w:rFonts w:hint="default" w:ascii="Times New Roman" w:hAnsi="Times New Roman" w:cs="Times New Roman"/>
        </w:rPr>
        <w:t>。</w:t>
      </w:r>
    </w:p>
    <w:p>
      <w:pPr>
        <w:pStyle w:val="7"/>
        <w:rPr>
          <w:rFonts w:hint="default" w:ascii="Times New Roman" w:hAnsi="Times New Roman" w:cs="Times New Roman"/>
        </w:rPr>
      </w:pPr>
      <w:bookmarkStart w:id="84" w:name="_Toc24840"/>
      <w:r>
        <w:rPr>
          <w:rFonts w:hint="default" w:ascii="Times New Roman" w:hAnsi="Times New Roman" w:cs="Times New Roman"/>
        </w:rPr>
        <w:t>2.1.2地形地貌</w:t>
      </w:r>
      <w:bookmarkEnd w:id="84"/>
    </w:p>
    <w:p>
      <w:pPr>
        <w:pStyle w:val="2"/>
        <w:bidi w:val="0"/>
        <w:rPr>
          <w:rFonts w:hint="default" w:ascii="Times New Roman" w:hAnsi="Times New Roman" w:cs="Times New Roman"/>
          <w:sz w:val="28"/>
          <w:lang w:eastAsia="zh-CN"/>
        </w:rPr>
      </w:pPr>
      <w:r>
        <w:rPr>
          <w:rFonts w:hint="default" w:ascii="Times New Roman" w:hAnsi="Times New Roman" w:cs="Times New Roman"/>
          <w:sz w:val="28"/>
          <w:lang w:eastAsia="zh-CN"/>
        </w:rPr>
        <w:t>友好区（局）属于低山丘陵地带。坡度平均在100至140之间，局部地区最大坡度可达350至400，岗脊较宽平。海拔高度介于228至795米之间，平均海拔高度450米左右。小兴安岭主脉在境内北部沿东西方向通过，友好区（局）全境地形中间高，南北低，形成南北两坡。南坡是北高南低，属于汤旺河流域，占全区总面积的70%；北坡是南高北低，属于黑龙江流域，占总面积的30%。整个轮廓</w:t>
      </w:r>
      <w:bookmarkStart w:id="388" w:name="_GoBack"/>
      <w:bookmarkEnd w:id="388"/>
      <w:r>
        <w:rPr>
          <w:rFonts w:hint="default" w:ascii="Times New Roman" w:hAnsi="Times New Roman" w:cs="Times New Roman"/>
          <w:sz w:val="28"/>
          <w:lang w:eastAsia="zh-CN"/>
        </w:rPr>
        <w:t>南北长，为86公里，东西窄，最宽处为59公里，最窄处仅有20公里，周长365.5公里。</w:t>
      </w:r>
    </w:p>
    <w:p>
      <w:pPr>
        <w:pStyle w:val="2"/>
        <w:bidi w:val="0"/>
        <w:rPr>
          <w:rFonts w:hint="default" w:ascii="Times New Roman" w:hAnsi="Times New Roman" w:cs="Times New Roman"/>
          <w:sz w:val="28"/>
          <w:lang w:eastAsia="zh-CN"/>
        </w:rPr>
      </w:pPr>
      <w:r>
        <w:rPr>
          <w:rFonts w:hint="default" w:ascii="Times New Roman" w:hAnsi="Times New Roman" w:cs="Times New Roman"/>
          <w:sz w:val="28"/>
          <w:lang w:eastAsia="zh-CN"/>
        </w:rPr>
        <w:t>友好区（局）境内山峦是由小兴安岭山脉及其延伸的14条支脉以及532条余脉所构成。山脉总延伸长度达1951公里之多。大小山峰1030座。</w:t>
      </w:r>
    </w:p>
    <w:p>
      <w:pPr>
        <w:pStyle w:val="7"/>
        <w:bidi w:val="0"/>
        <w:rPr>
          <w:rFonts w:hint="default" w:ascii="Times New Roman" w:hAnsi="Times New Roman" w:cs="Times New Roman"/>
          <w:lang w:val="en-US" w:eastAsia="zh-CN"/>
        </w:rPr>
      </w:pPr>
      <w:r>
        <w:rPr>
          <w:rFonts w:hint="default" w:ascii="Times New Roman" w:hAnsi="Times New Roman" w:cs="Times New Roman"/>
          <w:lang w:val="en-US" w:eastAsia="zh-CN"/>
        </w:rPr>
        <w:t>2.1.3水文条件</w:t>
      </w:r>
    </w:p>
    <w:p>
      <w:pPr>
        <w:pStyle w:val="2"/>
        <w:bidi w:val="0"/>
        <w:rPr>
          <w:rFonts w:hint="default" w:ascii="Times New Roman" w:hAnsi="Times New Roman" w:cs="Times New Roman"/>
          <w:sz w:val="28"/>
          <w:lang w:eastAsia="zh-CN"/>
        </w:rPr>
      </w:pPr>
      <w:r>
        <w:rPr>
          <w:rFonts w:hint="default" w:ascii="Times New Roman" w:hAnsi="Times New Roman" w:cs="Times New Roman"/>
          <w:sz w:val="28"/>
          <w:lang w:eastAsia="zh-CN"/>
        </w:rPr>
        <w:t>小兴安岭主脉横贯于全区偏北的位置，使区内形成两大水系，即向南最终汇入松花江的汤旺河水系、向北最终汇入黑龙江的沾河水系，前者主要为友好河、双子河，它们是汤旺河的较大的支流之一。友好河(上游为东友好河、西友好河两大支流)、双子河（上游为东卡尔太河、西卡尔太河、石头河、罗圈河、鸡爪河、西双子河等支流）两条河流的总流域面积为2032平方公里，其中友好河流域面积略大。后者在区内主要为东都鲁河、西都鲁河，两河流域面积约为776平方公里。全区河流总长为663公里，河网密度为23.6公里/平方公里。全区平均径流深一般在300毫米左右。</w:t>
      </w:r>
    </w:p>
    <w:p>
      <w:pPr>
        <w:pStyle w:val="2"/>
        <w:bidi w:val="0"/>
        <w:rPr>
          <w:rFonts w:hint="default" w:ascii="Times New Roman" w:hAnsi="Times New Roman" w:cs="Times New Roman"/>
          <w:sz w:val="28"/>
          <w:lang w:eastAsia="zh-CN"/>
        </w:rPr>
      </w:pPr>
      <w:r>
        <w:rPr>
          <w:rFonts w:hint="default" w:ascii="Times New Roman" w:hAnsi="Times New Roman" w:cs="Times New Roman"/>
          <w:sz w:val="28"/>
          <w:lang w:eastAsia="zh-CN"/>
        </w:rPr>
        <w:t>两条河流的径流量受季节的气候影响较大，在枯水期，由于冰冻，河流少数年份出现断流，据长春给排水设计院的资料枯水期流量小于0．1升／秒的时间大约为30天。河流水位受径流量的控制，变化幅度较大，在丰水期与平水期，水位较高，河流直接补给第四系潜水，而在枯水期河流水位降低，地下潜水又反补地表河流，这种地表水与地下水的水力联系是山区河流(尤其在主干河流上游)与山区潜水之间所特一。因其第四系松散沉积层分布范围的局限，该地下水径流途径较短。第四系河漫滩和河床堆积的圆砾层是本区第四系孔隙潜水的主要含水层，该层在测区分布相对较为稳定，厚度变化不大，含水层埋深较小，地下水位可以作为其顶板，其底板埋深5.20至8.30米，含水层厚度2.90至4.70米，平均厚度3.50米，根据试样颗粒分析结果，其孔隙度较大，给水度高，含水层富水性较强。该区第四系孔隙潜水的天然水力坡度较小，一般在2‰以内，地下水流向为北西向南东方向，与地表河流流向基本一致。</w:t>
      </w:r>
    </w:p>
    <w:p>
      <w:pPr>
        <w:pStyle w:val="2"/>
        <w:bidi w:val="0"/>
        <w:rPr>
          <w:rFonts w:hint="default" w:ascii="Times New Roman" w:hAnsi="Times New Roman" w:cs="Times New Roman"/>
          <w:lang w:val="en-US" w:eastAsia="zh-CN"/>
        </w:rPr>
      </w:pPr>
      <w:r>
        <w:rPr>
          <w:rFonts w:hint="default" w:ascii="Times New Roman" w:hAnsi="Times New Roman" w:cs="Times New Roman"/>
          <w:sz w:val="28"/>
          <w:lang w:eastAsia="zh-CN"/>
        </w:rPr>
        <w:t>友好区地处汤旺河上游，辖区内水资源丰富，流经友好河的河流可以分为两大系，总的说来水质较好，质量等级多为Ⅰ、Ⅱ类水体，其中友好河、双子河下游入口流经处流经区址，流长约为4公里，友好区内生产、生活污染严重，区域的水质铁、锰、氨氮等超标，水质质量等级为Ⅳ类水体。</w:t>
      </w:r>
    </w:p>
    <w:p>
      <w:pPr>
        <w:pStyle w:val="7"/>
        <w:rPr>
          <w:rFonts w:hint="default" w:ascii="Times New Roman" w:hAnsi="Times New Roman" w:cs="Times New Roman"/>
        </w:rPr>
      </w:pPr>
      <w:bookmarkStart w:id="85" w:name="_Toc3963"/>
      <w:r>
        <w:rPr>
          <w:rFonts w:hint="default" w:ascii="Times New Roman" w:hAnsi="Times New Roman" w:cs="Times New Roman"/>
        </w:rPr>
        <w:t>2.1.</w:t>
      </w:r>
      <w:r>
        <w:rPr>
          <w:rFonts w:hint="default" w:ascii="Times New Roman" w:hAnsi="Times New Roman" w:cs="Times New Roman"/>
          <w:lang w:val="en-US" w:eastAsia="zh-CN"/>
        </w:rPr>
        <w:t>4</w:t>
      </w:r>
      <w:r>
        <w:rPr>
          <w:rFonts w:hint="default" w:ascii="Times New Roman" w:hAnsi="Times New Roman" w:cs="Times New Roman"/>
        </w:rPr>
        <w:t>气候特征</w:t>
      </w:r>
      <w:bookmarkEnd w:id="85"/>
    </w:p>
    <w:p>
      <w:pPr>
        <w:pStyle w:val="2"/>
        <w:bidi w:val="0"/>
        <w:rPr>
          <w:rFonts w:hint="default" w:ascii="Times New Roman" w:hAnsi="Times New Roman" w:cs="Times New Roman"/>
          <w:sz w:val="28"/>
          <w:lang w:eastAsia="zh-CN"/>
        </w:rPr>
      </w:pPr>
      <w:r>
        <w:rPr>
          <w:rFonts w:hint="default" w:ascii="Times New Roman" w:hAnsi="Times New Roman" w:cs="Times New Roman"/>
          <w:sz w:val="28"/>
          <w:lang w:eastAsia="zh-CN"/>
        </w:rPr>
        <w:t>林区地处温带大陆性湿润季风气候区，受太平洋海洋气团暖流和西伯利亚寒流双重影响，常年气温变化较大，冬季寒冷干旱而漫长，夏季炎热多雨而短暂，春秋气温变化明显，年平均气温在0.4℃，一月份平均气温为-23℃，七月份平均气温为20℃，大于10℃年积温为2162℃。</w:t>
      </w:r>
    </w:p>
    <w:p>
      <w:pPr>
        <w:pStyle w:val="2"/>
        <w:bidi w:val="0"/>
        <w:rPr>
          <w:rFonts w:hint="eastAsia" w:ascii="宋体" w:hAnsi="宋体"/>
          <w:sz w:val="28"/>
          <w:lang w:eastAsia="zh-CN"/>
        </w:rPr>
      </w:pPr>
      <w:r>
        <w:rPr>
          <w:rFonts w:hint="default" w:ascii="Times New Roman" w:hAnsi="Times New Roman" w:cs="Times New Roman"/>
          <w:sz w:val="28"/>
          <w:lang w:eastAsia="zh-CN"/>
        </w:rPr>
        <w:t>受区域气候条件的影响，本地区雨</w:t>
      </w:r>
      <w:r>
        <w:rPr>
          <w:rFonts w:hint="eastAsia" w:ascii="宋体" w:hAnsi="宋体"/>
          <w:sz w:val="28"/>
          <w:lang w:eastAsia="zh-CN"/>
        </w:rPr>
        <w:t>季比较集中，多在七、八月份，据气象资料，历年最大降水量为897.8毫米。多年平均降水量为630毫米，年平均蒸发量为1038毫米。</w:t>
      </w:r>
    </w:p>
    <w:p>
      <w:pPr>
        <w:pStyle w:val="2"/>
        <w:bidi w:val="0"/>
        <w:rPr>
          <w:rFonts w:hint="default" w:ascii="Times New Roman" w:hAnsi="Times New Roman" w:eastAsia="微软雅黑" w:cs="Times New Roman"/>
          <w:b w:val="0"/>
          <w:i w:val="0"/>
          <w:caps w:val="0"/>
          <w:color w:val="333333"/>
          <w:spacing w:val="0"/>
          <w:szCs w:val="19"/>
        </w:rPr>
      </w:pPr>
      <w:r>
        <w:rPr>
          <w:rFonts w:hint="eastAsia" w:ascii="宋体" w:hAnsi="宋体"/>
          <w:sz w:val="28"/>
          <w:lang w:eastAsia="zh-CN"/>
        </w:rPr>
        <w:t>本</w:t>
      </w:r>
      <w:r>
        <w:rPr>
          <w:rFonts w:hint="default" w:ascii="Times New Roman" w:hAnsi="Times New Roman" w:cs="Times New Roman"/>
          <w:sz w:val="28"/>
          <w:lang w:eastAsia="zh-CN"/>
        </w:rPr>
        <w:t>区历年最大降水日数为171天，降水量全年多出现两次高峰，一是四、五月份汛期冰雪融化所至，一是七、八月份降雨所至，七、八月份降水占全年降水量的65%以上。其枯水期与平水期时间延续较长，其枯水期多在1—4月份之间。全年共6个月封冻期，年最大冻层在2.5米以上</w:t>
      </w:r>
      <w:r>
        <w:rPr>
          <w:rFonts w:hint="default" w:ascii="Times New Roman" w:hAnsi="Times New Roman" w:cs="Times New Roman"/>
        </w:rPr>
        <w:t>。</w:t>
      </w:r>
    </w:p>
    <w:p>
      <w:pPr>
        <w:pStyle w:val="7"/>
        <w:rPr>
          <w:rFonts w:hint="default" w:ascii="Times New Roman" w:hAnsi="Times New Roman" w:cs="Times New Roman"/>
        </w:rPr>
      </w:pPr>
      <w:bookmarkStart w:id="86" w:name="_Toc4978"/>
      <w:r>
        <w:rPr>
          <w:rFonts w:hint="default" w:ascii="Times New Roman" w:hAnsi="Times New Roman" w:cs="Times New Roman"/>
        </w:rPr>
        <w:t>2.1.</w:t>
      </w:r>
      <w:r>
        <w:rPr>
          <w:rFonts w:hint="default" w:ascii="Times New Roman" w:hAnsi="Times New Roman" w:cs="Times New Roman"/>
          <w:lang w:val="en-US" w:eastAsia="zh-CN"/>
        </w:rPr>
        <w:t>5</w:t>
      </w:r>
      <w:r>
        <w:rPr>
          <w:rFonts w:hint="default" w:ascii="Times New Roman" w:hAnsi="Times New Roman" w:cs="Times New Roman"/>
        </w:rPr>
        <w:t>自然资源</w:t>
      </w:r>
      <w:bookmarkEnd w:id="86"/>
    </w:p>
    <w:p>
      <w:pPr>
        <w:pStyle w:val="2"/>
        <w:bidi w:val="0"/>
        <w:rPr>
          <w:rFonts w:hint="default" w:ascii="Times New Roman" w:hAnsi="Times New Roman" w:cs="Times New Roman"/>
        </w:rPr>
      </w:pPr>
      <w:r>
        <w:rPr>
          <w:rFonts w:hint="default" w:ascii="Times New Roman" w:hAnsi="Times New Roman" w:cs="Times New Roman"/>
        </w:rPr>
        <w:t>友好区内矿产资源丰富，品种有铁、铜、铅、锌、钼、钨、锡、铟、铋、汞、镉等，非金属矿产有硅、硒等，还有煤、云母、石墨、石灰石、大理石、耐火土、陶瓷土等。其中铁矿分布广，储量多，成为该区矿产资源之首。目前，已开发和生产的有翠北铁矿、对青铁矿，密林铁矿和半拉青山铁矿等。</w:t>
      </w:r>
    </w:p>
    <w:p>
      <w:pPr>
        <w:pStyle w:val="2"/>
        <w:bidi w:val="0"/>
        <w:rPr>
          <w:rFonts w:hint="default" w:ascii="Times New Roman" w:hAnsi="Times New Roman" w:cs="Times New Roman"/>
          <w:lang w:eastAsia="zh-CN"/>
        </w:rPr>
      </w:pPr>
      <w:r>
        <w:rPr>
          <w:rFonts w:hint="default" w:ascii="Times New Roman" w:hAnsi="Times New Roman" w:cs="Times New Roman"/>
        </w:rPr>
        <w:t>友好区森林植被属于长白山植物区系的小兴安岭亚区，原始顶级群落是红松阔叶混交林，但由于长期采伐及诸多破坏因素的影响，使原生植被不复存在，现有林木分类主要为次生林：南坡多为阔叶红松林、落叶松人工林以及天然阔叶混交林；北坡有落叶松、白桦为主并有少部分针阔混交林。以上植被按垂直分布可划分两个带即：以红松为优势的针叶。林或针阔叶混交林，分布在海拔400—500米的山腹和岗脊上；针阔叶混交林多分布在山坡的下部，阔叶林多属于过伐林分类型。下木主要有榛柴、刺五加等。地被植物则是塔头苔草、蕨类等</w:t>
      </w:r>
      <w:r>
        <w:rPr>
          <w:rFonts w:hint="default" w:ascii="Times New Roman" w:hAnsi="Times New Roman" w:cs="Times New Roman"/>
          <w:lang w:eastAsia="zh-CN"/>
        </w:rPr>
        <w:t>。</w:t>
      </w: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友好区在动物地理区划上属于古北界、东北区长白山亚区。本区共有兽类6目16科43种；鸟类17目45科206种；两栖类2目5科9种；爬行类3目4科10种；鱼类4目8科22种。另外，据初步调查统计有昆虫类动物250余种。野生动物资源仅国家一、二级保护动物就有40余种，一级保护动物有紫貂、原麝等，二级保护动物有马鹿、黑熊、花尾榛鸡、狍子、獾子、山狸、野猪、东北兔、猞猁、水獭等。另有一级保护鸟类6种，二级保护鸟类34种之多。</w:t>
      </w: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友好区植物地理区划属于长白山植物区系（满洲）小兴安岭亚区。红松针阔叶混交林是该区的顶级群落。但由于多次反复采伐，原生植被已残存不多，现主要是天然次生林类型有针阔也混交林、落叶松林、阔叶混交林、杨华林、针叶林和柞树林等。本林区有苔类植物20科59种，藓类植物29科138种。种子植物88科650种，本林区种类多、分布广的优势科植物主要有菊科、毛莨科、蔷薇科、莎草科、禾木科、百合科、杨柳科、松科等。友好区林下野生植物资源种类繁多，其中药用植物44种，蕴藏较多的主要有黄芪、党参、五味子、刺五加、三颗针等；山野菜类6种即蕨菜、猴腿、刺嫩芽、山韭菜、山菠菜、山白菜等；实用果类7种即越橘、猕猴桃、刺梅、草莓、托盘、山葡萄、蓝果、山丁子等；柳编类1种；食用菌类有 木耳、猴头菇、棒蘑、元蘑、榆黄蘑等，此外还有多种药用菌类。</w:t>
      </w:r>
    </w:p>
    <w:p>
      <w:pPr>
        <w:pStyle w:val="7"/>
        <w:bidi w:val="0"/>
        <w:outlineLvl w:val="1"/>
        <w:rPr>
          <w:rFonts w:hint="default" w:ascii="Times New Roman" w:hAnsi="Times New Roman" w:cs="Times New Roman"/>
        </w:rPr>
      </w:pPr>
      <w:bookmarkStart w:id="87" w:name="_Toc2419"/>
      <w:bookmarkStart w:id="88" w:name="_Toc32733"/>
      <w:bookmarkStart w:id="89" w:name="_Toc18841_WPSOffice_Level2"/>
      <w:bookmarkStart w:id="90" w:name="_Toc21436"/>
      <w:bookmarkStart w:id="91" w:name="_Toc9204_WPSOffice_Level2"/>
      <w:bookmarkStart w:id="92" w:name="_Toc23298"/>
      <w:r>
        <w:rPr>
          <w:rFonts w:hint="default" w:ascii="Times New Roman" w:hAnsi="Times New Roman" w:cs="Times New Roman"/>
        </w:rPr>
        <w:t>2.2社会经济状况</w:t>
      </w:r>
      <w:bookmarkEnd w:id="87"/>
      <w:bookmarkEnd w:id="88"/>
      <w:bookmarkEnd w:id="89"/>
      <w:bookmarkEnd w:id="90"/>
      <w:bookmarkEnd w:id="91"/>
      <w:bookmarkEnd w:id="92"/>
    </w:p>
    <w:p>
      <w:pPr>
        <w:pStyle w:val="7"/>
        <w:bidi w:val="0"/>
        <w:rPr>
          <w:rFonts w:hint="default" w:ascii="Times New Roman" w:hAnsi="Times New Roman" w:cs="Times New Roman"/>
        </w:rPr>
      </w:pPr>
      <w:bookmarkStart w:id="93" w:name="_Toc15673"/>
      <w:bookmarkStart w:id="94" w:name="_Toc15922_WPSOffice_Level2"/>
      <w:bookmarkStart w:id="95" w:name="_Toc18291"/>
      <w:r>
        <w:rPr>
          <w:rFonts w:hint="default" w:ascii="Times New Roman" w:hAnsi="Times New Roman" w:cs="Times New Roman"/>
        </w:rPr>
        <w:t>2.2.1行政区划分</w:t>
      </w:r>
      <w:bookmarkEnd w:id="93"/>
      <w:bookmarkEnd w:id="94"/>
      <w:bookmarkEnd w:id="95"/>
    </w:p>
    <w:p>
      <w:pPr>
        <w:pStyle w:val="2"/>
        <w:bidi w:val="0"/>
        <w:rPr>
          <w:rFonts w:hint="eastAsia"/>
          <w:lang w:eastAsia="zh-CN"/>
        </w:rPr>
      </w:pPr>
      <w:r>
        <w:rPr>
          <w:rFonts w:hint="default" w:ascii="Times New Roman" w:hAnsi="Times New Roman" w:cs="Times New Roman"/>
          <w:lang w:eastAsia="zh-CN"/>
        </w:rPr>
        <w:t>2019年7月13日，伊春市召开动员大会，宣读《国务院关于</w:t>
      </w:r>
      <w:r>
        <w:rPr>
          <w:rFonts w:hint="eastAsia"/>
          <w:lang w:eastAsia="zh-CN"/>
        </w:rPr>
        <w:t>同意黑龙江省调整伊春市部分行政区划的批复》，新设立友好区。友好区辖</w:t>
      </w:r>
      <w:r>
        <w:rPr>
          <w:rFonts w:hint="eastAsia"/>
          <w:lang w:val="en-US" w:eastAsia="zh-CN"/>
        </w:rPr>
        <w:t>1个镇，</w:t>
      </w:r>
      <w:r>
        <w:rPr>
          <w:rFonts w:hint="eastAsia"/>
          <w:lang w:eastAsia="zh-CN"/>
        </w:rPr>
        <w:t>3个街道。</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lang w:eastAsia="zh-CN"/>
        </w:rPr>
      </w:pPr>
      <w:r>
        <w:drawing>
          <wp:inline distT="0" distB="0" distL="114300" distR="114300">
            <wp:extent cx="4881245" cy="3808730"/>
            <wp:effectExtent l="0" t="0" r="10795" b="1270"/>
            <wp:docPr id="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0"/>
                    <pic:cNvPicPr>
                      <a:picLocks noChangeAspect="1"/>
                    </pic:cNvPicPr>
                  </pic:nvPicPr>
                  <pic:blipFill>
                    <a:blip r:embed="rId8"/>
                    <a:stretch>
                      <a:fillRect/>
                    </a:stretch>
                  </pic:blipFill>
                  <pic:spPr>
                    <a:xfrm>
                      <a:off x="0" y="0"/>
                      <a:ext cx="4881245" cy="3808730"/>
                    </a:xfrm>
                    <a:prstGeom prst="rect">
                      <a:avLst/>
                    </a:prstGeom>
                    <a:noFill/>
                    <a:ln>
                      <a:noFill/>
                    </a:ln>
                  </pic:spPr>
                </pic:pic>
              </a:graphicData>
            </a:graphic>
          </wp:inline>
        </w:drawing>
      </w:r>
    </w:p>
    <w:p>
      <w:pPr>
        <w:pStyle w:val="24"/>
        <w:keepNext w:val="0"/>
        <w:keepLines w:val="0"/>
        <w:pageBreakBefore w:val="0"/>
        <w:widowControl w:val="0"/>
        <w:kinsoku/>
        <w:wordWrap/>
        <w:overflowPunct/>
        <w:topLinePunct w:val="0"/>
        <w:autoSpaceDE/>
        <w:autoSpaceDN/>
        <w:bidi w:val="0"/>
        <w:adjustRightInd/>
        <w:snapToGrid/>
        <w:ind w:left="0"/>
        <w:textAlignment w:val="auto"/>
        <w:rPr>
          <w:rFonts w:hint="eastAsia"/>
          <w:color w:val="000000"/>
        </w:rPr>
      </w:pPr>
      <w:r>
        <w:rPr>
          <w:rFonts w:hint="eastAsia"/>
          <w:color w:val="000000"/>
        </w:rPr>
        <w:t xml:space="preserve">图2-1  </w:t>
      </w:r>
      <w:r>
        <w:rPr>
          <w:rFonts w:hint="eastAsia"/>
          <w:color w:val="000000"/>
          <w:lang w:eastAsia="zh-CN"/>
        </w:rPr>
        <w:t>友好区</w:t>
      </w:r>
      <w:r>
        <w:rPr>
          <w:rFonts w:hint="eastAsia"/>
          <w:color w:val="000000"/>
        </w:rPr>
        <w:t>区域地图</w:t>
      </w:r>
    </w:p>
    <w:p>
      <w:pPr>
        <w:pStyle w:val="7"/>
        <w:rPr>
          <w:rFonts w:hint="eastAsia"/>
          <w:color w:val="000000"/>
          <w:highlight w:val="none"/>
        </w:rPr>
      </w:pPr>
      <w:bookmarkStart w:id="96" w:name="_Toc17572"/>
      <w:r>
        <w:rPr>
          <w:rFonts w:hint="eastAsia"/>
          <w:highlight w:val="none"/>
        </w:rPr>
        <w:t>2</w:t>
      </w:r>
      <w:r>
        <w:rPr>
          <w:rFonts w:hint="eastAsia"/>
          <w:color w:val="000000"/>
          <w:highlight w:val="none"/>
        </w:rPr>
        <w:t>.2.2 村庄人口分布概况</w:t>
      </w:r>
    </w:p>
    <w:p>
      <w:pPr>
        <w:pStyle w:val="2"/>
        <w:ind w:firstLine="560"/>
        <w:rPr>
          <w:rFonts w:hint="eastAsia"/>
          <w:color w:val="000000"/>
          <w:highlight w:val="yellow"/>
        </w:rPr>
      </w:pPr>
      <w:r>
        <w:rPr>
          <w:rFonts w:hint="eastAsia"/>
          <w:color w:val="000000"/>
          <w:lang w:val="en-US" w:eastAsia="zh-CN"/>
        </w:rPr>
        <w:t>友好区</w:t>
      </w:r>
      <w:r>
        <w:rPr>
          <w:rFonts w:hint="eastAsia"/>
          <w:color w:val="000000"/>
        </w:rPr>
        <w:t>农村常住人口总计587人，204户。</w:t>
      </w:r>
    </w:p>
    <w:p>
      <w:pPr>
        <w:pStyle w:val="24"/>
        <w:bidi w:val="0"/>
      </w:pPr>
      <w:r>
        <w:rPr>
          <w:rFonts w:hint="eastAsia"/>
        </w:rPr>
        <w:t>表</w:t>
      </w:r>
      <w:r>
        <w:t xml:space="preserve">2-1  </w:t>
      </w:r>
      <w:r>
        <w:rPr>
          <w:rFonts w:hint="eastAsia"/>
          <w:lang w:val="en-US" w:eastAsia="zh-CN"/>
        </w:rPr>
        <w:t>友好区</w:t>
      </w:r>
      <w:r>
        <w:rPr>
          <w:rFonts w:hint="eastAsia"/>
        </w:rPr>
        <w:t>农村人口</w:t>
      </w:r>
      <w:r>
        <w:rPr>
          <w:rFonts w:hint="eastAsia"/>
          <w:lang w:val="en-US" w:eastAsia="zh-CN"/>
        </w:rPr>
        <w:t>统计表</w:t>
      </w:r>
      <w:r>
        <w:rPr>
          <w:rFonts w:hint="eastAsia"/>
        </w:rPr>
        <w:t>表</w:t>
      </w:r>
    </w:p>
    <w:tbl>
      <w:tblPr>
        <w:tblStyle w:val="41"/>
        <w:tblW w:w="9015" w:type="dxa"/>
        <w:jc w:val="center"/>
        <w:tblLayout w:type="autofit"/>
        <w:tblCellMar>
          <w:top w:w="0" w:type="dxa"/>
          <w:left w:w="108" w:type="dxa"/>
          <w:bottom w:w="0" w:type="dxa"/>
          <w:right w:w="108" w:type="dxa"/>
        </w:tblCellMar>
      </w:tblPr>
      <w:tblGrid>
        <w:gridCol w:w="856"/>
        <w:gridCol w:w="1157"/>
        <w:gridCol w:w="1193"/>
        <w:gridCol w:w="1462"/>
        <w:gridCol w:w="1462"/>
        <w:gridCol w:w="1462"/>
        <w:gridCol w:w="1423"/>
      </w:tblGrid>
      <w:tr>
        <w:tblPrEx>
          <w:tblCellMar>
            <w:top w:w="0" w:type="dxa"/>
            <w:left w:w="108" w:type="dxa"/>
            <w:bottom w:w="0" w:type="dxa"/>
            <w:right w:w="108" w:type="dxa"/>
          </w:tblCellMar>
        </w:tblPrEx>
        <w:trPr>
          <w:trHeight w:val="284" w:hRule="atLeast"/>
          <w:jc w:val="center"/>
        </w:trPr>
        <w:tc>
          <w:tcPr>
            <w:tcW w:w="856" w:type="dxa"/>
            <w:tcBorders>
              <w:top w:val="single" w:color="auto" w:sz="4" w:space="0"/>
              <w:left w:val="single" w:color="auto" w:sz="4" w:space="0"/>
              <w:bottom w:val="single" w:color="auto" w:sz="4" w:space="0"/>
              <w:right w:val="single" w:color="auto" w:sz="4" w:space="0"/>
            </w:tcBorders>
            <w:shd w:val="clear" w:color="auto" w:fill="E6E6E6"/>
            <w:noWrap w:val="0"/>
            <w:vAlign w:val="center"/>
          </w:tcPr>
          <w:p>
            <w:pPr>
              <w:pStyle w:val="25"/>
              <w:bidi w:val="0"/>
            </w:pPr>
            <w:r>
              <w:rPr>
                <w:rFonts w:hint="eastAsia"/>
              </w:rPr>
              <w:t>序号</w:t>
            </w:r>
          </w:p>
        </w:tc>
        <w:tc>
          <w:tcPr>
            <w:tcW w:w="1157" w:type="dxa"/>
            <w:tcBorders>
              <w:top w:val="single" w:color="auto" w:sz="4" w:space="0"/>
              <w:left w:val="nil"/>
              <w:bottom w:val="single" w:color="auto" w:sz="4" w:space="0"/>
              <w:right w:val="single" w:color="auto" w:sz="4" w:space="0"/>
            </w:tcBorders>
            <w:shd w:val="clear" w:color="auto" w:fill="E6E6E6"/>
            <w:noWrap w:val="0"/>
            <w:vAlign w:val="center"/>
          </w:tcPr>
          <w:p>
            <w:pPr>
              <w:pStyle w:val="25"/>
              <w:bidi w:val="0"/>
            </w:pPr>
            <w:r>
              <w:rPr>
                <w:rFonts w:hint="eastAsia"/>
                <w:lang w:val="en-US" w:eastAsia="zh-CN"/>
              </w:rPr>
              <w:t>行政</w:t>
            </w:r>
            <w:r>
              <w:rPr>
                <w:rFonts w:hint="eastAsia"/>
              </w:rPr>
              <w:t>村</w:t>
            </w:r>
          </w:p>
        </w:tc>
        <w:tc>
          <w:tcPr>
            <w:tcW w:w="1193" w:type="dxa"/>
            <w:tcBorders>
              <w:top w:val="single" w:color="auto" w:sz="4" w:space="0"/>
              <w:left w:val="single" w:color="auto" w:sz="4" w:space="0"/>
              <w:bottom w:val="single" w:color="auto" w:sz="4" w:space="0"/>
              <w:right w:val="single" w:color="auto" w:sz="4" w:space="0"/>
            </w:tcBorders>
            <w:shd w:val="clear" w:color="auto" w:fill="E6E6E6"/>
            <w:noWrap w:val="0"/>
            <w:vAlign w:val="top"/>
          </w:tcPr>
          <w:p>
            <w:pPr>
              <w:pStyle w:val="25"/>
              <w:bidi w:val="0"/>
            </w:pPr>
            <w:r>
              <w:rPr>
                <w:rFonts w:hint="eastAsia"/>
                <w:lang w:val="en-US" w:eastAsia="zh-CN"/>
              </w:rPr>
              <w:t>自然</w:t>
            </w:r>
            <w:r>
              <w:rPr>
                <w:rFonts w:hint="eastAsia"/>
              </w:rPr>
              <w:t>屯</w:t>
            </w:r>
          </w:p>
        </w:tc>
        <w:tc>
          <w:tcPr>
            <w:tcW w:w="1462" w:type="dxa"/>
            <w:tcBorders>
              <w:top w:val="single" w:color="auto" w:sz="4" w:space="0"/>
              <w:left w:val="single" w:color="auto" w:sz="4" w:space="0"/>
              <w:bottom w:val="single" w:color="auto" w:sz="4" w:space="0"/>
              <w:right w:val="single" w:color="auto" w:sz="4" w:space="0"/>
            </w:tcBorders>
            <w:shd w:val="clear" w:color="auto" w:fill="E6E6E6"/>
            <w:noWrap w:val="0"/>
            <w:vAlign w:val="center"/>
          </w:tcPr>
          <w:p>
            <w:pPr>
              <w:pStyle w:val="25"/>
              <w:bidi w:val="0"/>
              <w:rPr>
                <w:rFonts w:hint="default"/>
                <w:lang w:val="en-US" w:eastAsia="zh-CN"/>
              </w:rPr>
            </w:pPr>
            <w:r>
              <w:rPr>
                <w:rFonts w:hint="eastAsia"/>
                <w:lang w:val="en-US" w:eastAsia="zh-CN"/>
              </w:rPr>
              <w:t>户籍户数</w:t>
            </w:r>
          </w:p>
        </w:tc>
        <w:tc>
          <w:tcPr>
            <w:tcW w:w="1462" w:type="dxa"/>
            <w:tcBorders>
              <w:top w:val="single" w:color="auto" w:sz="4" w:space="0"/>
              <w:left w:val="single" w:color="auto" w:sz="4" w:space="0"/>
              <w:bottom w:val="single" w:color="auto" w:sz="4" w:space="0"/>
              <w:right w:val="single" w:color="auto" w:sz="4" w:space="0"/>
            </w:tcBorders>
            <w:shd w:val="clear" w:color="auto" w:fill="E6E6E6"/>
            <w:noWrap w:val="0"/>
            <w:vAlign w:val="center"/>
          </w:tcPr>
          <w:p>
            <w:pPr>
              <w:pStyle w:val="25"/>
              <w:bidi w:val="0"/>
              <w:rPr>
                <w:rFonts w:hint="default"/>
                <w:lang w:val="en-US" w:eastAsia="zh-CN"/>
              </w:rPr>
            </w:pPr>
            <w:r>
              <w:rPr>
                <w:rFonts w:hint="eastAsia"/>
                <w:lang w:val="en-US" w:eastAsia="zh-CN"/>
              </w:rPr>
              <w:t>户籍人数</w:t>
            </w:r>
          </w:p>
        </w:tc>
        <w:tc>
          <w:tcPr>
            <w:tcW w:w="1462" w:type="dxa"/>
            <w:tcBorders>
              <w:top w:val="single" w:color="auto" w:sz="4" w:space="0"/>
              <w:left w:val="single" w:color="auto" w:sz="4" w:space="0"/>
              <w:bottom w:val="single" w:color="auto" w:sz="4" w:space="0"/>
              <w:right w:val="single" w:color="auto" w:sz="4" w:space="0"/>
            </w:tcBorders>
            <w:shd w:val="clear" w:color="auto" w:fill="E6E6E6"/>
            <w:noWrap w:val="0"/>
            <w:vAlign w:val="center"/>
          </w:tcPr>
          <w:p>
            <w:pPr>
              <w:pStyle w:val="25"/>
              <w:bidi w:val="0"/>
            </w:pPr>
            <w:r>
              <w:rPr>
                <w:rFonts w:hint="eastAsia"/>
                <w:lang w:val="en-US" w:eastAsia="zh-CN"/>
              </w:rPr>
              <w:t>常住户</w:t>
            </w:r>
            <w:r>
              <w:rPr>
                <w:rFonts w:hint="eastAsia"/>
              </w:rPr>
              <w:t>数</w:t>
            </w:r>
          </w:p>
        </w:tc>
        <w:tc>
          <w:tcPr>
            <w:tcW w:w="1423" w:type="dxa"/>
            <w:tcBorders>
              <w:top w:val="single" w:color="auto" w:sz="4" w:space="0"/>
              <w:left w:val="nil"/>
              <w:bottom w:val="single" w:color="auto" w:sz="4" w:space="0"/>
              <w:right w:val="single" w:color="auto" w:sz="4" w:space="0"/>
            </w:tcBorders>
            <w:shd w:val="clear" w:color="auto" w:fill="E6E6E6"/>
            <w:noWrap w:val="0"/>
            <w:vAlign w:val="center"/>
          </w:tcPr>
          <w:p>
            <w:pPr>
              <w:pStyle w:val="25"/>
              <w:bidi w:val="0"/>
            </w:pPr>
            <w:r>
              <w:rPr>
                <w:rFonts w:hint="eastAsia"/>
                <w:lang w:val="en-US" w:eastAsia="zh-CN"/>
              </w:rPr>
              <w:t>常住人口</w:t>
            </w:r>
            <w:r>
              <w:rPr>
                <w:rFonts w:hint="eastAsia"/>
              </w:rPr>
              <w:t>数</w:t>
            </w:r>
          </w:p>
        </w:tc>
      </w:tr>
      <w:tr>
        <w:tblPrEx>
          <w:tblCellMar>
            <w:top w:w="0" w:type="dxa"/>
            <w:left w:w="108" w:type="dxa"/>
            <w:bottom w:w="0" w:type="dxa"/>
            <w:right w:w="108" w:type="dxa"/>
          </w:tblCellMar>
        </w:tblPrEx>
        <w:trPr>
          <w:trHeight w:val="284" w:hRule="atLeast"/>
          <w:jc w:val="center"/>
        </w:trPr>
        <w:tc>
          <w:tcPr>
            <w:tcW w:w="856" w:type="dxa"/>
            <w:tcBorders>
              <w:top w:val="nil"/>
              <w:left w:val="single" w:color="auto" w:sz="4" w:space="0"/>
              <w:bottom w:val="single" w:color="auto" w:sz="4" w:space="0"/>
              <w:right w:val="single" w:color="auto" w:sz="4" w:space="0"/>
            </w:tcBorders>
            <w:noWrap w:val="0"/>
            <w:vAlign w:val="center"/>
          </w:tcPr>
          <w:p>
            <w:pPr>
              <w:pStyle w:val="25"/>
              <w:bidi w:val="0"/>
            </w:pPr>
            <w:r>
              <w:t>1</w:t>
            </w:r>
          </w:p>
        </w:tc>
        <w:tc>
          <w:tcPr>
            <w:tcW w:w="1157" w:type="dxa"/>
            <w:tcBorders>
              <w:top w:val="nil"/>
              <w:left w:val="nil"/>
              <w:bottom w:val="single" w:color="auto" w:sz="4" w:space="0"/>
              <w:right w:val="single" w:color="auto" w:sz="4" w:space="0"/>
            </w:tcBorders>
            <w:noWrap w:val="0"/>
            <w:vAlign w:val="center"/>
          </w:tcPr>
          <w:p>
            <w:pPr>
              <w:pStyle w:val="25"/>
              <w:bidi w:val="0"/>
            </w:pPr>
            <w:r>
              <w:rPr>
                <w:rFonts w:hint="eastAsia"/>
                <w:lang w:val="en-US" w:eastAsia="zh-CN"/>
              </w:rPr>
              <w:t>青山村</w:t>
            </w:r>
          </w:p>
        </w:tc>
        <w:tc>
          <w:tcPr>
            <w:tcW w:w="1193" w:type="dxa"/>
            <w:tcBorders>
              <w:top w:val="nil"/>
              <w:left w:val="single" w:color="auto" w:sz="4" w:space="0"/>
              <w:bottom w:val="single" w:color="auto" w:sz="4" w:space="0"/>
              <w:right w:val="single" w:color="auto" w:sz="4" w:space="0"/>
            </w:tcBorders>
            <w:noWrap w:val="0"/>
            <w:vAlign w:val="center"/>
          </w:tcPr>
          <w:p>
            <w:pPr>
              <w:pStyle w:val="25"/>
              <w:bidi w:val="0"/>
            </w:pPr>
            <w:r>
              <w:rPr>
                <w:rFonts w:hint="eastAsia"/>
                <w:lang w:val="en-US" w:eastAsia="zh-CN"/>
              </w:rPr>
              <w:t>1队</w:t>
            </w:r>
          </w:p>
        </w:tc>
        <w:tc>
          <w:tcPr>
            <w:tcW w:w="1462" w:type="dxa"/>
            <w:tcBorders>
              <w:top w:val="nil"/>
              <w:left w:val="single" w:color="auto" w:sz="4" w:space="0"/>
              <w:bottom w:val="single" w:color="auto" w:sz="4" w:space="0"/>
              <w:right w:val="single" w:color="auto" w:sz="4" w:space="0"/>
            </w:tcBorders>
            <w:noWrap/>
            <w:vAlign w:val="center"/>
          </w:tcPr>
          <w:p>
            <w:pPr>
              <w:pStyle w:val="25"/>
              <w:rPr>
                <w:rFonts w:hint="default"/>
                <w:lang w:val="en-US" w:eastAsia="zh-CN"/>
              </w:rPr>
            </w:pPr>
            <w:r>
              <w:rPr>
                <w:rFonts w:hint="eastAsia"/>
              </w:rPr>
              <w:t>30</w:t>
            </w:r>
          </w:p>
        </w:tc>
        <w:tc>
          <w:tcPr>
            <w:tcW w:w="1462" w:type="dxa"/>
            <w:tcBorders>
              <w:top w:val="nil"/>
              <w:left w:val="single" w:color="auto" w:sz="4" w:space="0"/>
              <w:bottom w:val="single" w:color="auto" w:sz="4" w:space="0"/>
              <w:right w:val="single" w:color="auto" w:sz="4" w:space="0"/>
            </w:tcBorders>
            <w:noWrap/>
            <w:vAlign w:val="center"/>
          </w:tcPr>
          <w:p>
            <w:pPr>
              <w:pStyle w:val="25"/>
              <w:rPr>
                <w:rFonts w:hint="default"/>
                <w:lang w:val="en-US" w:eastAsia="zh-CN"/>
              </w:rPr>
            </w:pPr>
            <w:r>
              <w:rPr>
                <w:rFonts w:hint="eastAsia"/>
              </w:rPr>
              <w:t>70</w:t>
            </w:r>
          </w:p>
        </w:tc>
        <w:tc>
          <w:tcPr>
            <w:tcW w:w="1462" w:type="dxa"/>
            <w:tcBorders>
              <w:top w:val="nil"/>
              <w:left w:val="single" w:color="auto" w:sz="4" w:space="0"/>
              <w:bottom w:val="single" w:color="auto" w:sz="4" w:space="0"/>
              <w:right w:val="single" w:color="auto" w:sz="4" w:space="0"/>
            </w:tcBorders>
            <w:noWrap/>
            <w:vAlign w:val="center"/>
          </w:tcPr>
          <w:p>
            <w:pPr>
              <w:pStyle w:val="25"/>
            </w:pPr>
            <w:r>
              <w:rPr>
                <w:rFonts w:hint="eastAsia"/>
              </w:rPr>
              <w:t>27</w:t>
            </w:r>
          </w:p>
        </w:tc>
        <w:tc>
          <w:tcPr>
            <w:tcW w:w="1423" w:type="dxa"/>
            <w:tcBorders>
              <w:top w:val="nil"/>
              <w:left w:val="nil"/>
              <w:bottom w:val="single" w:color="auto" w:sz="4" w:space="0"/>
              <w:right w:val="single" w:color="auto" w:sz="4" w:space="0"/>
            </w:tcBorders>
            <w:noWrap/>
            <w:vAlign w:val="center"/>
          </w:tcPr>
          <w:p>
            <w:pPr>
              <w:pStyle w:val="25"/>
              <w:bidi w:val="0"/>
            </w:pPr>
            <w:r>
              <w:rPr>
                <w:rFonts w:hint="eastAsia"/>
                <w:lang w:val="en-US" w:eastAsia="zh-CN"/>
              </w:rPr>
              <w:t>70</w:t>
            </w:r>
          </w:p>
        </w:tc>
      </w:tr>
      <w:tr>
        <w:tblPrEx>
          <w:tblCellMar>
            <w:top w:w="0" w:type="dxa"/>
            <w:left w:w="108" w:type="dxa"/>
            <w:bottom w:w="0" w:type="dxa"/>
            <w:right w:w="108" w:type="dxa"/>
          </w:tblCellMar>
        </w:tblPrEx>
        <w:trPr>
          <w:trHeight w:val="284" w:hRule="atLeast"/>
          <w:jc w:val="center"/>
        </w:trPr>
        <w:tc>
          <w:tcPr>
            <w:tcW w:w="856" w:type="dxa"/>
            <w:tcBorders>
              <w:top w:val="nil"/>
              <w:left w:val="single" w:color="auto" w:sz="4" w:space="0"/>
              <w:bottom w:val="single" w:color="auto" w:sz="4" w:space="0"/>
              <w:right w:val="single" w:color="auto" w:sz="4" w:space="0"/>
            </w:tcBorders>
            <w:noWrap w:val="0"/>
            <w:vAlign w:val="center"/>
          </w:tcPr>
          <w:p>
            <w:pPr>
              <w:pStyle w:val="25"/>
              <w:bidi w:val="0"/>
            </w:pPr>
            <w:r>
              <w:t>2</w:t>
            </w:r>
          </w:p>
        </w:tc>
        <w:tc>
          <w:tcPr>
            <w:tcW w:w="1157" w:type="dxa"/>
            <w:tcBorders>
              <w:top w:val="nil"/>
              <w:left w:val="nil"/>
              <w:bottom w:val="single" w:color="auto" w:sz="4" w:space="0"/>
              <w:right w:val="single" w:color="auto" w:sz="4" w:space="0"/>
            </w:tcBorders>
            <w:noWrap w:val="0"/>
            <w:vAlign w:val="center"/>
          </w:tcPr>
          <w:p>
            <w:pPr>
              <w:pStyle w:val="25"/>
              <w:bidi w:val="0"/>
            </w:pPr>
            <w:r>
              <w:rPr>
                <w:rFonts w:hint="eastAsia"/>
                <w:lang w:val="en-US" w:eastAsia="zh-CN"/>
              </w:rPr>
              <w:t>青山村</w:t>
            </w:r>
          </w:p>
        </w:tc>
        <w:tc>
          <w:tcPr>
            <w:tcW w:w="1193" w:type="dxa"/>
            <w:tcBorders>
              <w:top w:val="nil"/>
              <w:left w:val="single" w:color="auto" w:sz="4" w:space="0"/>
              <w:bottom w:val="single" w:color="auto" w:sz="4" w:space="0"/>
              <w:right w:val="single" w:color="auto" w:sz="4" w:space="0"/>
            </w:tcBorders>
            <w:noWrap w:val="0"/>
            <w:vAlign w:val="center"/>
          </w:tcPr>
          <w:p>
            <w:pPr>
              <w:pStyle w:val="25"/>
              <w:bidi w:val="0"/>
            </w:pPr>
            <w:r>
              <w:rPr>
                <w:rFonts w:hint="eastAsia"/>
                <w:lang w:val="en-US" w:eastAsia="zh-CN"/>
              </w:rPr>
              <w:t>2队</w:t>
            </w:r>
          </w:p>
        </w:tc>
        <w:tc>
          <w:tcPr>
            <w:tcW w:w="1462" w:type="dxa"/>
            <w:tcBorders>
              <w:top w:val="nil"/>
              <w:left w:val="single" w:color="auto" w:sz="4" w:space="0"/>
              <w:bottom w:val="single" w:color="auto" w:sz="4" w:space="0"/>
              <w:right w:val="single" w:color="auto" w:sz="4" w:space="0"/>
            </w:tcBorders>
            <w:noWrap/>
            <w:vAlign w:val="center"/>
          </w:tcPr>
          <w:p>
            <w:pPr>
              <w:pStyle w:val="25"/>
              <w:rPr>
                <w:rFonts w:hint="default"/>
                <w:lang w:val="en-US" w:eastAsia="zh-CN"/>
              </w:rPr>
            </w:pPr>
            <w:r>
              <w:rPr>
                <w:rFonts w:hint="eastAsia"/>
              </w:rPr>
              <w:t>76</w:t>
            </w:r>
          </w:p>
        </w:tc>
        <w:tc>
          <w:tcPr>
            <w:tcW w:w="1462" w:type="dxa"/>
            <w:tcBorders>
              <w:top w:val="nil"/>
              <w:left w:val="single" w:color="auto" w:sz="4" w:space="0"/>
              <w:bottom w:val="single" w:color="auto" w:sz="4" w:space="0"/>
              <w:right w:val="single" w:color="auto" w:sz="4" w:space="0"/>
            </w:tcBorders>
            <w:noWrap/>
            <w:vAlign w:val="center"/>
          </w:tcPr>
          <w:p>
            <w:pPr>
              <w:pStyle w:val="25"/>
              <w:rPr>
                <w:rFonts w:hint="eastAsia"/>
                <w:lang w:val="en-US" w:eastAsia="zh-CN"/>
              </w:rPr>
            </w:pPr>
            <w:r>
              <w:rPr>
                <w:rFonts w:hint="eastAsia"/>
              </w:rPr>
              <w:t>150</w:t>
            </w:r>
          </w:p>
        </w:tc>
        <w:tc>
          <w:tcPr>
            <w:tcW w:w="1462" w:type="dxa"/>
            <w:tcBorders>
              <w:top w:val="nil"/>
              <w:left w:val="single" w:color="auto" w:sz="4" w:space="0"/>
              <w:bottom w:val="single" w:color="auto" w:sz="4" w:space="0"/>
              <w:right w:val="single" w:color="auto" w:sz="4" w:space="0"/>
            </w:tcBorders>
            <w:noWrap/>
            <w:vAlign w:val="center"/>
          </w:tcPr>
          <w:p>
            <w:pPr>
              <w:pStyle w:val="25"/>
            </w:pPr>
            <w:r>
              <w:rPr>
                <w:rFonts w:hint="eastAsia"/>
              </w:rPr>
              <w:t>150</w:t>
            </w:r>
          </w:p>
        </w:tc>
        <w:tc>
          <w:tcPr>
            <w:tcW w:w="1423" w:type="dxa"/>
            <w:tcBorders>
              <w:top w:val="nil"/>
              <w:left w:val="nil"/>
              <w:bottom w:val="single" w:color="auto" w:sz="4" w:space="0"/>
              <w:right w:val="single" w:color="auto" w:sz="4" w:space="0"/>
            </w:tcBorders>
            <w:noWrap/>
            <w:vAlign w:val="center"/>
          </w:tcPr>
          <w:p>
            <w:pPr>
              <w:pStyle w:val="25"/>
              <w:bidi w:val="0"/>
            </w:pPr>
            <w:r>
              <w:rPr>
                <w:rFonts w:hint="eastAsia"/>
                <w:lang w:val="en-US" w:eastAsia="zh-CN"/>
              </w:rPr>
              <w:t>150</w:t>
            </w:r>
          </w:p>
        </w:tc>
      </w:tr>
      <w:tr>
        <w:tblPrEx>
          <w:tblCellMar>
            <w:top w:w="0" w:type="dxa"/>
            <w:left w:w="108" w:type="dxa"/>
            <w:bottom w:w="0" w:type="dxa"/>
            <w:right w:w="108" w:type="dxa"/>
          </w:tblCellMar>
        </w:tblPrEx>
        <w:trPr>
          <w:trHeight w:val="284" w:hRule="atLeast"/>
          <w:jc w:val="center"/>
        </w:trPr>
        <w:tc>
          <w:tcPr>
            <w:tcW w:w="856" w:type="dxa"/>
            <w:tcBorders>
              <w:top w:val="nil"/>
              <w:left w:val="single" w:color="auto" w:sz="4" w:space="0"/>
              <w:bottom w:val="single" w:color="auto" w:sz="4" w:space="0"/>
              <w:right w:val="single" w:color="auto" w:sz="4" w:space="0"/>
            </w:tcBorders>
            <w:noWrap w:val="0"/>
            <w:vAlign w:val="center"/>
          </w:tcPr>
          <w:p>
            <w:pPr>
              <w:pStyle w:val="25"/>
              <w:bidi w:val="0"/>
            </w:pPr>
            <w:r>
              <w:t>3</w:t>
            </w:r>
          </w:p>
        </w:tc>
        <w:tc>
          <w:tcPr>
            <w:tcW w:w="1157" w:type="dxa"/>
            <w:tcBorders>
              <w:top w:val="nil"/>
              <w:left w:val="nil"/>
              <w:bottom w:val="single" w:color="auto" w:sz="4" w:space="0"/>
              <w:right w:val="single" w:color="auto" w:sz="4" w:space="0"/>
            </w:tcBorders>
            <w:noWrap w:val="0"/>
            <w:vAlign w:val="center"/>
          </w:tcPr>
          <w:p>
            <w:pPr>
              <w:pStyle w:val="25"/>
              <w:bidi w:val="0"/>
            </w:pPr>
            <w:r>
              <w:rPr>
                <w:rFonts w:hint="eastAsia"/>
                <w:lang w:val="en-US" w:eastAsia="zh-CN"/>
              </w:rPr>
              <w:t>青山村</w:t>
            </w:r>
          </w:p>
        </w:tc>
        <w:tc>
          <w:tcPr>
            <w:tcW w:w="1193" w:type="dxa"/>
            <w:tcBorders>
              <w:top w:val="nil"/>
              <w:left w:val="single" w:color="auto" w:sz="4" w:space="0"/>
              <w:bottom w:val="single" w:color="auto" w:sz="4" w:space="0"/>
              <w:right w:val="single" w:color="auto" w:sz="4" w:space="0"/>
            </w:tcBorders>
            <w:noWrap w:val="0"/>
            <w:vAlign w:val="center"/>
          </w:tcPr>
          <w:p>
            <w:pPr>
              <w:pStyle w:val="25"/>
              <w:bidi w:val="0"/>
            </w:pPr>
            <w:r>
              <w:rPr>
                <w:rFonts w:hint="eastAsia"/>
                <w:lang w:val="en-US" w:eastAsia="zh-CN"/>
              </w:rPr>
              <w:t>3队</w:t>
            </w:r>
          </w:p>
        </w:tc>
        <w:tc>
          <w:tcPr>
            <w:tcW w:w="1462" w:type="dxa"/>
            <w:tcBorders>
              <w:top w:val="nil"/>
              <w:left w:val="single" w:color="auto" w:sz="4" w:space="0"/>
              <w:bottom w:val="single" w:color="auto" w:sz="4" w:space="0"/>
              <w:right w:val="single" w:color="auto" w:sz="4" w:space="0"/>
            </w:tcBorders>
            <w:noWrap/>
            <w:vAlign w:val="center"/>
          </w:tcPr>
          <w:p>
            <w:pPr>
              <w:pStyle w:val="25"/>
              <w:rPr>
                <w:rFonts w:hint="default"/>
                <w:lang w:val="en-US" w:eastAsia="zh-CN"/>
              </w:rPr>
            </w:pPr>
            <w:r>
              <w:rPr>
                <w:rFonts w:hint="eastAsia"/>
              </w:rPr>
              <w:t>32</w:t>
            </w:r>
          </w:p>
        </w:tc>
        <w:tc>
          <w:tcPr>
            <w:tcW w:w="1462" w:type="dxa"/>
            <w:tcBorders>
              <w:top w:val="nil"/>
              <w:left w:val="single" w:color="auto" w:sz="4" w:space="0"/>
              <w:bottom w:val="single" w:color="auto" w:sz="4" w:space="0"/>
              <w:right w:val="single" w:color="auto" w:sz="4" w:space="0"/>
            </w:tcBorders>
            <w:noWrap/>
            <w:vAlign w:val="center"/>
          </w:tcPr>
          <w:p>
            <w:pPr>
              <w:pStyle w:val="25"/>
              <w:rPr>
                <w:rFonts w:hint="eastAsia"/>
                <w:lang w:val="en-US" w:eastAsia="zh-CN"/>
              </w:rPr>
            </w:pPr>
            <w:r>
              <w:rPr>
                <w:rFonts w:hint="eastAsia"/>
              </w:rPr>
              <w:t>74</w:t>
            </w:r>
          </w:p>
        </w:tc>
        <w:tc>
          <w:tcPr>
            <w:tcW w:w="1462" w:type="dxa"/>
            <w:tcBorders>
              <w:top w:val="nil"/>
              <w:left w:val="single" w:color="auto" w:sz="4" w:space="0"/>
              <w:bottom w:val="single" w:color="auto" w:sz="4" w:space="0"/>
              <w:right w:val="single" w:color="auto" w:sz="4" w:space="0"/>
            </w:tcBorders>
            <w:noWrap/>
            <w:vAlign w:val="center"/>
          </w:tcPr>
          <w:p>
            <w:pPr>
              <w:pStyle w:val="25"/>
            </w:pPr>
            <w:r>
              <w:rPr>
                <w:rFonts w:hint="eastAsia"/>
              </w:rPr>
              <w:t>74</w:t>
            </w:r>
          </w:p>
        </w:tc>
        <w:tc>
          <w:tcPr>
            <w:tcW w:w="1423" w:type="dxa"/>
            <w:tcBorders>
              <w:top w:val="nil"/>
              <w:left w:val="nil"/>
              <w:bottom w:val="single" w:color="auto" w:sz="4" w:space="0"/>
              <w:right w:val="single" w:color="auto" w:sz="4" w:space="0"/>
            </w:tcBorders>
            <w:noWrap/>
            <w:vAlign w:val="center"/>
          </w:tcPr>
          <w:p>
            <w:pPr>
              <w:pStyle w:val="25"/>
              <w:bidi w:val="0"/>
            </w:pPr>
            <w:r>
              <w:rPr>
                <w:rFonts w:hint="eastAsia"/>
                <w:lang w:val="en-US" w:eastAsia="zh-CN"/>
              </w:rPr>
              <w:t>74</w:t>
            </w:r>
          </w:p>
        </w:tc>
      </w:tr>
      <w:tr>
        <w:tblPrEx>
          <w:tblCellMar>
            <w:top w:w="0" w:type="dxa"/>
            <w:left w:w="108" w:type="dxa"/>
            <w:bottom w:w="0" w:type="dxa"/>
            <w:right w:w="108" w:type="dxa"/>
          </w:tblCellMar>
        </w:tblPrEx>
        <w:trPr>
          <w:trHeight w:val="284" w:hRule="atLeast"/>
          <w:jc w:val="center"/>
        </w:trPr>
        <w:tc>
          <w:tcPr>
            <w:tcW w:w="856" w:type="dxa"/>
            <w:tcBorders>
              <w:top w:val="nil"/>
              <w:left w:val="single" w:color="auto" w:sz="4" w:space="0"/>
              <w:bottom w:val="single" w:color="auto" w:sz="4" w:space="0"/>
              <w:right w:val="single" w:color="auto" w:sz="4" w:space="0"/>
            </w:tcBorders>
            <w:noWrap w:val="0"/>
            <w:vAlign w:val="center"/>
          </w:tcPr>
          <w:p>
            <w:pPr>
              <w:pStyle w:val="25"/>
              <w:bidi w:val="0"/>
            </w:pPr>
            <w:r>
              <w:t>4</w:t>
            </w:r>
          </w:p>
        </w:tc>
        <w:tc>
          <w:tcPr>
            <w:tcW w:w="1157" w:type="dxa"/>
            <w:tcBorders>
              <w:top w:val="nil"/>
              <w:left w:val="nil"/>
              <w:bottom w:val="single" w:color="auto" w:sz="4" w:space="0"/>
              <w:right w:val="single" w:color="auto" w:sz="4" w:space="0"/>
            </w:tcBorders>
            <w:noWrap w:val="0"/>
            <w:vAlign w:val="center"/>
          </w:tcPr>
          <w:p>
            <w:pPr>
              <w:pStyle w:val="25"/>
              <w:bidi w:val="0"/>
            </w:pPr>
            <w:r>
              <w:rPr>
                <w:rFonts w:hint="eastAsia"/>
                <w:lang w:val="en-US" w:eastAsia="zh-CN"/>
              </w:rPr>
              <w:t>爱国村</w:t>
            </w:r>
          </w:p>
        </w:tc>
        <w:tc>
          <w:tcPr>
            <w:tcW w:w="1193" w:type="dxa"/>
            <w:tcBorders>
              <w:top w:val="nil"/>
              <w:left w:val="single" w:color="auto" w:sz="4" w:space="0"/>
              <w:bottom w:val="single" w:color="auto" w:sz="4" w:space="0"/>
              <w:right w:val="single" w:color="auto" w:sz="4" w:space="0"/>
            </w:tcBorders>
            <w:noWrap w:val="0"/>
            <w:vAlign w:val="center"/>
          </w:tcPr>
          <w:p>
            <w:pPr>
              <w:pStyle w:val="25"/>
              <w:bidi w:val="0"/>
            </w:pPr>
            <w:r>
              <w:rPr>
                <w:rFonts w:hint="eastAsia"/>
                <w:lang w:val="en-US" w:eastAsia="zh-CN"/>
              </w:rPr>
              <w:t>1队</w:t>
            </w:r>
          </w:p>
        </w:tc>
        <w:tc>
          <w:tcPr>
            <w:tcW w:w="1462" w:type="dxa"/>
            <w:tcBorders>
              <w:top w:val="nil"/>
              <w:left w:val="single" w:color="auto" w:sz="4" w:space="0"/>
              <w:bottom w:val="single" w:color="auto" w:sz="4" w:space="0"/>
              <w:right w:val="single" w:color="auto" w:sz="4" w:space="0"/>
            </w:tcBorders>
            <w:noWrap/>
            <w:vAlign w:val="center"/>
          </w:tcPr>
          <w:p>
            <w:pPr>
              <w:pStyle w:val="25"/>
              <w:bidi w:val="0"/>
              <w:rPr>
                <w:rFonts w:hint="default"/>
                <w:lang w:val="en-US" w:eastAsia="zh-CN"/>
              </w:rPr>
            </w:pPr>
            <w:r>
              <w:rPr>
                <w:rFonts w:hint="eastAsia"/>
                <w:lang w:val="en-US" w:eastAsia="zh-CN"/>
              </w:rPr>
              <w:t>16</w:t>
            </w:r>
          </w:p>
        </w:tc>
        <w:tc>
          <w:tcPr>
            <w:tcW w:w="1462" w:type="dxa"/>
            <w:tcBorders>
              <w:top w:val="nil"/>
              <w:left w:val="single" w:color="auto" w:sz="4" w:space="0"/>
              <w:bottom w:val="single" w:color="auto" w:sz="4" w:space="0"/>
              <w:right w:val="single" w:color="auto" w:sz="4" w:space="0"/>
            </w:tcBorders>
            <w:noWrap/>
            <w:vAlign w:val="center"/>
          </w:tcPr>
          <w:p>
            <w:pPr>
              <w:pStyle w:val="25"/>
              <w:bidi w:val="0"/>
              <w:rPr>
                <w:rFonts w:hint="eastAsia"/>
                <w:lang w:val="en-US" w:eastAsia="zh-CN"/>
              </w:rPr>
            </w:pPr>
            <w:r>
              <w:rPr>
                <w:rFonts w:hint="eastAsia"/>
                <w:lang w:val="en-US" w:eastAsia="zh-CN"/>
              </w:rPr>
              <w:t>35</w:t>
            </w:r>
          </w:p>
        </w:tc>
        <w:tc>
          <w:tcPr>
            <w:tcW w:w="1462" w:type="dxa"/>
            <w:tcBorders>
              <w:top w:val="nil"/>
              <w:left w:val="single" w:color="auto" w:sz="4" w:space="0"/>
              <w:bottom w:val="single" w:color="auto" w:sz="4" w:space="0"/>
              <w:right w:val="single" w:color="auto" w:sz="4" w:space="0"/>
            </w:tcBorders>
            <w:noWrap/>
            <w:vAlign w:val="center"/>
          </w:tcPr>
          <w:p>
            <w:pPr>
              <w:pStyle w:val="25"/>
              <w:bidi w:val="0"/>
            </w:pPr>
            <w:r>
              <w:rPr>
                <w:rFonts w:hint="eastAsia"/>
                <w:lang w:val="en-US" w:eastAsia="zh-CN"/>
              </w:rPr>
              <w:t>16</w:t>
            </w:r>
          </w:p>
        </w:tc>
        <w:tc>
          <w:tcPr>
            <w:tcW w:w="1423" w:type="dxa"/>
            <w:tcBorders>
              <w:top w:val="nil"/>
              <w:left w:val="nil"/>
              <w:bottom w:val="single" w:color="auto" w:sz="4" w:space="0"/>
              <w:right w:val="single" w:color="auto" w:sz="4" w:space="0"/>
            </w:tcBorders>
            <w:noWrap/>
            <w:vAlign w:val="center"/>
          </w:tcPr>
          <w:p>
            <w:pPr>
              <w:pStyle w:val="25"/>
              <w:bidi w:val="0"/>
            </w:pPr>
            <w:r>
              <w:rPr>
                <w:rFonts w:hint="eastAsia"/>
                <w:lang w:val="en-US" w:eastAsia="zh-CN"/>
              </w:rPr>
              <w:t>35</w:t>
            </w:r>
          </w:p>
        </w:tc>
      </w:tr>
      <w:tr>
        <w:tblPrEx>
          <w:tblCellMar>
            <w:top w:w="0" w:type="dxa"/>
            <w:left w:w="108" w:type="dxa"/>
            <w:bottom w:w="0" w:type="dxa"/>
            <w:right w:w="108" w:type="dxa"/>
          </w:tblCellMar>
        </w:tblPrEx>
        <w:trPr>
          <w:trHeight w:val="284" w:hRule="atLeast"/>
          <w:jc w:val="center"/>
        </w:trPr>
        <w:tc>
          <w:tcPr>
            <w:tcW w:w="856" w:type="dxa"/>
            <w:tcBorders>
              <w:top w:val="nil"/>
              <w:left w:val="single" w:color="auto" w:sz="4" w:space="0"/>
              <w:bottom w:val="single" w:color="auto" w:sz="4" w:space="0"/>
              <w:right w:val="single" w:color="auto" w:sz="4" w:space="0"/>
            </w:tcBorders>
            <w:noWrap w:val="0"/>
            <w:vAlign w:val="center"/>
          </w:tcPr>
          <w:p>
            <w:pPr>
              <w:pStyle w:val="25"/>
              <w:bidi w:val="0"/>
            </w:pPr>
            <w:r>
              <w:t>5</w:t>
            </w:r>
          </w:p>
        </w:tc>
        <w:tc>
          <w:tcPr>
            <w:tcW w:w="1157" w:type="dxa"/>
            <w:tcBorders>
              <w:top w:val="nil"/>
              <w:left w:val="nil"/>
              <w:bottom w:val="single" w:color="auto" w:sz="4" w:space="0"/>
              <w:right w:val="single" w:color="auto" w:sz="4" w:space="0"/>
            </w:tcBorders>
            <w:noWrap w:val="0"/>
            <w:vAlign w:val="center"/>
          </w:tcPr>
          <w:p>
            <w:pPr>
              <w:pStyle w:val="25"/>
              <w:bidi w:val="0"/>
            </w:pPr>
            <w:r>
              <w:rPr>
                <w:rFonts w:hint="eastAsia"/>
                <w:lang w:val="en-US" w:eastAsia="zh-CN"/>
              </w:rPr>
              <w:t>爱国村</w:t>
            </w:r>
          </w:p>
        </w:tc>
        <w:tc>
          <w:tcPr>
            <w:tcW w:w="1193" w:type="dxa"/>
            <w:tcBorders>
              <w:top w:val="nil"/>
              <w:left w:val="single" w:color="auto" w:sz="4" w:space="0"/>
              <w:bottom w:val="single" w:color="auto" w:sz="4" w:space="0"/>
              <w:right w:val="single" w:color="auto" w:sz="4" w:space="0"/>
            </w:tcBorders>
            <w:noWrap w:val="0"/>
            <w:vAlign w:val="center"/>
          </w:tcPr>
          <w:p>
            <w:pPr>
              <w:pStyle w:val="25"/>
              <w:bidi w:val="0"/>
            </w:pPr>
            <w:r>
              <w:rPr>
                <w:rFonts w:hint="eastAsia"/>
                <w:lang w:val="en-US" w:eastAsia="zh-CN"/>
              </w:rPr>
              <w:t>2队</w:t>
            </w:r>
          </w:p>
        </w:tc>
        <w:tc>
          <w:tcPr>
            <w:tcW w:w="1462" w:type="dxa"/>
            <w:tcBorders>
              <w:top w:val="nil"/>
              <w:left w:val="single" w:color="auto" w:sz="4" w:space="0"/>
              <w:bottom w:val="single" w:color="auto" w:sz="4" w:space="0"/>
              <w:right w:val="single" w:color="auto" w:sz="4" w:space="0"/>
            </w:tcBorders>
            <w:noWrap/>
            <w:vAlign w:val="center"/>
          </w:tcPr>
          <w:p>
            <w:pPr>
              <w:pStyle w:val="25"/>
              <w:bidi w:val="0"/>
              <w:rPr>
                <w:rFonts w:hint="default"/>
                <w:lang w:val="en-US" w:eastAsia="zh-CN"/>
              </w:rPr>
            </w:pPr>
            <w:r>
              <w:rPr>
                <w:rFonts w:hint="eastAsia"/>
                <w:lang w:val="en-US" w:eastAsia="zh-CN"/>
              </w:rPr>
              <w:t>46</w:t>
            </w:r>
          </w:p>
        </w:tc>
        <w:tc>
          <w:tcPr>
            <w:tcW w:w="1462" w:type="dxa"/>
            <w:tcBorders>
              <w:top w:val="nil"/>
              <w:left w:val="single" w:color="auto" w:sz="4" w:space="0"/>
              <w:bottom w:val="single" w:color="auto" w:sz="4" w:space="0"/>
              <w:right w:val="single" w:color="auto" w:sz="4" w:space="0"/>
            </w:tcBorders>
            <w:noWrap/>
            <w:vAlign w:val="center"/>
          </w:tcPr>
          <w:p>
            <w:pPr>
              <w:pStyle w:val="25"/>
              <w:bidi w:val="0"/>
              <w:rPr>
                <w:rFonts w:hint="eastAsia"/>
                <w:lang w:val="en-US" w:eastAsia="zh-CN"/>
              </w:rPr>
            </w:pPr>
            <w:r>
              <w:rPr>
                <w:rFonts w:hint="eastAsia"/>
                <w:lang w:val="en-US" w:eastAsia="zh-CN"/>
              </w:rPr>
              <w:t>110</w:t>
            </w:r>
          </w:p>
        </w:tc>
        <w:tc>
          <w:tcPr>
            <w:tcW w:w="1462" w:type="dxa"/>
            <w:tcBorders>
              <w:top w:val="nil"/>
              <w:left w:val="single" w:color="auto" w:sz="4" w:space="0"/>
              <w:bottom w:val="single" w:color="auto" w:sz="4" w:space="0"/>
              <w:right w:val="single" w:color="auto" w:sz="4" w:space="0"/>
            </w:tcBorders>
            <w:noWrap/>
            <w:vAlign w:val="center"/>
          </w:tcPr>
          <w:p>
            <w:pPr>
              <w:pStyle w:val="25"/>
              <w:bidi w:val="0"/>
            </w:pPr>
            <w:r>
              <w:rPr>
                <w:rFonts w:hint="eastAsia"/>
                <w:lang w:val="en-US" w:eastAsia="zh-CN"/>
              </w:rPr>
              <w:t>46</w:t>
            </w:r>
          </w:p>
        </w:tc>
        <w:tc>
          <w:tcPr>
            <w:tcW w:w="1423" w:type="dxa"/>
            <w:tcBorders>
              <w:top w:val="nil"/>
              <w:left w:val="nil"/>
              <w:bottom w:val="single" w:color="auto" w:sz="4" w:space="0"/>
              <w:right w:val="single" w:color="auto" w:sz="4" w:space="0"/>
            </w:tcBorders>
            <w:noWrap/>
            <w:vAlign w:val="center"/>
          </w:tcPr>
          <w:p>
            <w:pPr>
              <w:pStyle w:val="25"/>
              <w:bidi w:val="0"/>
            </w:pPr>
            <w:r>
              <w:rPr>
                <w:rFonts w:hint="eastAsia"/>
                <w:lang w:val="en-US" w:eastAsia="zh-CN"/>
              </w:rPr>
              <w:t>110</w:t>
            </w:r>
          </w:p>
        </w:tc>
      </w:tr>
      <w:tr>
        <w:tblPrEx>
          <w:tblCellMar>
            <w:top w:w="0" w:type="dxa"/>
            <w:left w:w="108" w:type="dxa"/>
            <w:bottom w:w="0" w:type="dxa"/>
            <w:right w:w="108" w:type="dxa"/>
          </w:tblCellMar>
        </w:tblPrEx>
        <w:trPr>
          <w:trHeight w:val="284" w:hRule="atLeast"/>
          <w:jc w:val="center"/>
        </w:trPr>
        <w:tc>
          <w:tcPr>
            <w:tcW w:w="856" w:type="dxa"/>
            <w:tcBorders>
              <w:top w:val="nil"/>
              <w:left w:val="single" w:color="auto" w:sz="4" w:space="0"/>
              <w:bottom w:val="single" w:color="auto" w:sz="4" w:space="0"/>
              <w:right w:val="single" w:color="auto" w:sz="4" w:space="0"/>
            </w:tcBorders>
            <w:noWrap w:val="0"/>
            <w:vAlign w:val="center"/>
          </w:tcPr>
          <w:p>
            <w:pPr>
              <w:pStyle w:val="25"/>
              <w:bidi w:val="0"/>
            </w:pPr>
            <w:r>
              <w:t>6</w:t>
            </w:r>
          </w:p>
        </w:tc>
        <w:tc>
          <w:tcPr>
            <w:tcW w:w="1157" w:type="dxa"/>
            <w:tcBorders>
              <w:top w:val="nil"/>
              <w:left w:val="nil"/>
              <w:bottom w:val="single" w:color="auto" w:sz="4" w:space="0"/>
              <w:right w:val="single" w:color="auto" w:sz="4" w:space="0"/>
            </w:tcBorders>
            <w:noWrap w:val="0"/>
            <w:vAlign w:val="center"/>
          </w:tcPr>
          <w:p>
            <w:pPr>
              <w:pStyle w:val="25"/>
              <w:bidi w:val="0"/>
            </w:pPr>
            <w:r>
              <w:rPr>
                <w:rFonts w:hint="eastAsia"/>
                <w:lang w:val="en-US" w:eastAsia="zh-CN"/>
              </w:rPr>
              <w:t>曙光村</w:t>
            </w:r>
          </w:p>
        </w:tc>
        <w:tc>
          <w:tcPr>
            <w:tcW w:w="1193" w:type="dxa"/>
            <w:tcBorders>
              <w:top w:val="nil"/>
              <w:left w:val="single" w:color="auto" w:sz="4" w:space="0"/>
              <w:bottom w:val="single" w:color="auto" w:sz="4" w:space="0"/>
              <w:right w:val="single" w:color="auto" w:sz="4" w:space="0"/>
            </w:tcBorders>
            <w:noWrap w:val="0"/>
            <w:vAlign w:val="center"/>
          </w:tcPr>
          <w:p>
            <w:pPr>
              <w:pStyle w:val="25"/>
              <w:bidi w:val="0"/>
            </w:pPr>
            <w:r>
              <w:rPr>
                <w:rFonts w:hint="eastAsia"/>
                <w:lang w:val="en-US" w:eastAsia="zh-CN"/>
              </w:rPr>
              <w:t>1队</w:t>
            </w:r>
          </w:p>
        </w:tc>
        <w:tc>
          <w:tcPr>
            <w:tcW w:w="1462" w:type="dxa"/>
            <w:tcBorders>
              <w:top w:val="nil"/>
              <w:left w:val="single" w:color="auto" w:sz="4" w:space="0"/>
              <w:bottom w:val="single" w:color="auto" w:sz="4" w:space="0"/>
              <w:right w:val="single" w:color="auto" w:sz="4" w:space="0"/>
            </w:tcBorders>
            <w:noWrap/>
            <w:vAlign w:val="center"/>
          </w:tcPr>
          <w:p>
            <w:pPr>
              <w:pStyle w:val="25"/>
              <w:bidi w:val="0"/>
              <w:rPr>
                <w:rFonts w:hint="default"/>
                <w:lang w:val="en-US" w:eastAsia="zh-CN"/>
              </w:rPr>
            </w:pPr>
            <w:r>
              <w:rPr>
                <w:rFonts w:hint="eastAsia"/>
                <w:lang w:val="en-US" w:eastAsia="zh-CN"/>
              </w:rPr>
              <w:t>46</w:t>
            </w:r>
          </w:p>
        </w:tc>
        <w:tc>
          <w:tcPr>
            <w:tcW w:w="1462" w:type="dxa"/>
            <w:tcBorders>
              <w:top w:val="nil"/>
              <w:left w:val="single" w:color="auto" w:sz="4" w:space="0"/>
              <w:bottom w:val="single" w:color="auto" w:sz="4" w:space="0"/>
              <w:right w:val="single" w:color="auto" w:sz="4" w:space="0"/>
            </w:tcBorders>
            <w:noWrap/>
            <w:vAlign w:val="center"/>
          </w:tcPr>
          <w:p>
            <w:pPr>
              <w:pStyle w:val="25"/>
              <w:bidi w:val="0"/>
              <w:rPr>
                <w:rFonts w:hint="eastAsia"/>
                <w:lang w:val="en-US" w:eastAsia="zh-CN"/>
              </w:rPr>
            </w:pPr>
            <w:r>
              <w:rPr>
                <w:rFonts w:hint="eastAsia"/>
                <w:lang w:val="en-US" w:eastAsia="zh-CN"/>
              </w:rPr>
              <w:t>48</w:t>
            </w:r>
          </w:p>
        </w:tc>
        <w:tc>
          <w:tcPr>
            <w:tcW w:w="1462" w:type="dxa"/>
            <w:tcBorders>
              <w:top w:val="nil"/>
              <w:left w:val="single" w:color="auto" w:sz="4" w:space="0"/>
              <w:bottom w:val="single" w:color="auto" w:sz="4" w:space="0"/>
              <w:right w:val="single" w:color="auto" w:sz="4" w:space="0"/>
            </w:tcBorders>
            <w:noWrap/>
            <w:vAlign w:val="center"/>
          </w:tcPr>
          <w:p>
            <w:pPr>
              <w:pStyle w:val="25"/>
              <w:bidi w:val="0"/>
            </w:pPr>
            <w:r>
              <w:rPr>
                <w:rFonts w:hint="eastAsia"/>
                <w:lang w:val="en-US" w:eastAsia="zh-CN"/>
              </w:rPr>
              <w:t>17</w:t>
            </w:r>
          </w:p>
        </w:tc>
        <w:tc>
          <w:tcPr>
            <w:tcW w:w="1423" w:type="dxa"/>
            <w:tcBorders>
              <w:top w:val="nil"/>
              <w:left w:val="nil"/>
              <w:bottom w:val="single" w:color="auto" w:sz="4" w:space="0"/>
              <w:right w:val="single" w:color="auto" w:sz="4" w:space="0"/>
            </w:tcBorders>
            <w:noWrap/>
            <w:vAlign w:val="center"/>
          </w:tcPr>
          <w:p>
            <w:pPr>
              <w:pStyle w:val="25"/>
              <w:bidi w:val="0"/>
            </w:pPr>
            <w:r>
              <w:rPr>
                <w:rFonts w:hint="eastAsia"/>
                <w:lang w:val="en-US" w:eastAsia="zh-CN"/>
              </w:rPr>
              <w:t>48</w:t>
            </w:r>
          </w:p>
        </w:tc>
      </w:tr>
      <w:tr>
        <w:tblPrEx>
          <w:tblCellMar>
            <w:top w:w="0" w:type="dxa"/>
            <w:left w:w="108" w:type="dxa"/>
            <w:bottom w:w="0" w:type="dxa"/>
            <w:right w:w="108" w:type="dxa"/>
          </w:tblCellMar>
        </w:tblPrEx>
        <w:trPr>
          <w:trHeight w:val="284" w:hRule="atLeast"/>
          <w:jc w:val="center"/>
        </w:trPr>
        <w:tc>
          <w:tcPr>
            <w:tcW w:w="856" w:type="dxa"/>
            <w:tcBorders>
              <w:top w:val="single" w:color="auto" w:sz="4" w:space="0"/>
              <w:left w:val="single" w:color="auto" w:sz="4" w:space="0"/>
              <w:bottom w:val="single" w:color="auto" w:sz="4" w:space="0"/>
              <w:right w:val="single" w:color="auto" w:sz="4" w:space="0"/>
            </w:tcBorders>
            <w:noWrap w:val="0"/>
            <w:vAlign w:val="center"/>
          </w:tcPr>
          <w:p>
            <w:pPr>
              <w:pStyle w:val="25"/>
              <w:bidi w:val="0"/>
              <w:rPr>
                <w:rFonts w:hint="eastAsia" w:eastAsia="宋体"/>
                <w:lang w:val="en-US" w:eastAsia="zh-CN"/>
              </w:rPr>
            </w:pPr>
            <w:r>
              <w:rPr>
                <w:rFonts w:hint="eastAsia"/>
                <w:lang w:val="en-US" w:eastAsia="zh-CN"/>
              </w:rPr>
              <w:t>7</w:t>
            </w:r>
          </w:p>
        </w:tc>
        <w:tc>
          <w:tcPr>
            <w:tcW w:w="1157" w:type="dxa"/>
            <w:tcBorders>
              <w:top w:val="single" w:color="auto" w:sz="4" w:space="0"/>
              <w:left w:val="nil"/>
              <w:bottom w:val="single" w:color="auto" w:sz="4" w:space="0"/>
              <w:right w:val="single" w:color="auto" w:sz="4" w:space="0"/>
            </w:tcBorders>
            <w:noWrap w:val="0"/>
            <w:vAlign w:val="center"/>
          </w:tcPr>
          <w:p>
            <w:pPr>
              <w:pStyle w:val="25"/>
              <w:bidi w:val="0"/>
            </w:pPr>
            <w:r>
              <w:rPr>
                <w:rFonts w:hint="eastAsia"/>
                <w:lang w:val="en-US" w:eastAsia="zh-CN"/>
              </w:rPr>
              <w:t>曙光村</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pStyle w:val="25"/>
              <w:bidi w:val="0"/>
            </w:pPr>
            <w:r>
              <w:rPr>
                <w:rFonts w:hint="eastAsia"/>
                <w:lang w:val="en-US" w:eastAsia="zh-CN"/>
              </w:rPr>
              <w:t>2队</w:t>
            </w:r>
          </w:p>
        </w:tc>
        <w:tc>
          <w:tcPr>
            <w:tcW w:w="1462" w:type="dxa"/>
            <w:tcBorders>
              <w:top w:val="single" w:color="auto" w:sz="4" w:space="0"/>
              <w:left w:val="single" w:color="auto" w:sz="4" w:space="0"/>
              <w:bottom w:val="single" w:color="auto" w:sz="4" w:space="0"/>
              <w:right w:val="single" w:color="auto" w:sz="4" w:space="0"/>
            </w:tcBorders>
            <w:noWrap/>
            <w:vAlign w:val="center"/>
          </w:tcPr>
          <w:p>
            <w:pPr>
              <w:pStyle w:val="25"/>
              <w:bidi w:val="0"/>
              <w:rPr>
                <w:rFonts w:hint="default"/>
                <w:lang w:val="en-US" w:eastAsia="zh-CN"/>
              </w:rPr>
            </w:pPr>
            <w:r>
              <w:rPr>
                <w:rFonts w:hint="eastAsia"/>
                <w:lang w:val="en-US" w:eastAsia="zh-CN"/>
              </w:rPr>
              <w:t>74</w:t>
            </w:r>
          </w:p>
        </w:tc>
        <w:tc>
          <w:tcPr>
            <w:tcW w:w="1462" w:type="dxa"/>
            <w:tcBorders>
              <w:top w:val="single" w:color="auto" w:sz="4" w:space="0"/>
              <w:left w:val="single" w:color="auto" w:sz="4" w:space="0"/>
              <w:bottom w:val="single" w:color="auto" w:sz="4" w:space="0"/>
              <w:right w:val="single" w:color="auto" w:sz="4" w:space="0"/>
            </w:tcBorders>
            <w:noWrap/>
            <w:vAlign w:val="center"/>
          </w:tcPr>
          <w:p>
            <w:pPr>
              <w:pStyle w:val="25"/>
              <w:bidi w:val="0"/>
              <w:rPr>
                <w:rFonts w:hint="eastAsia"/>
                <w:lang w:val="en-US" w:eastAsia="zh-CN"/>
              </w:rPr>
            </w:pPr>
            <w:r>
              <w:rPr>
                <w:rFonts w:hint="eastAsia"/>
                <w:lang w:val="en-US" w:eastAsia="zh-CN"/>
              </w:rPr>
              <w:t>117</w:t>
            </w:r>
          </w:p>
        </w:tc>
        <w:tc>
          <w:tcPr>
            <w:tcW w:w="1462" w:type="dxa"/>
            <w:tcBorders>
              <w:top w:val="single" w:color="auto" w:sz="4" w:space="0"/>
              <w:left w:val="single" w:color="auto" w:sz="4" w:space="0"/>
              <w:bottom w:val="single" w:color="auto" w:sz="4" w:space="0"/>
              <w:right w:val="single" w:color="auto" w:sz="4" w:space="0"/>
            </w:tcBorders>
            <w:noWrap/>
            <w:vAlign w:val="center"/>
          </w:tcPr>
          <w:p>
            <w:pPr>
              <w:pStyle w:val="25"/>
              <w:bidi w:val="0"/>
              <w:rPr>
                <w:rFonts w:hint="default"/>
                <w:lang w:val="en-US" w:eastAsia="zh-CN"/>
              </w:rPr>
            </w:pPr>
            <w:r>
              <w:rPr>
                <w:rFonts w:hint="eastAsia"/>
                <w:lang w:val="en-US" w:eastAsia="zh-CN"/>
              </w:rPr>
              <w:t>39</w:t>
            </w:r>
          </w:p>
        </w:tc>
        <w:tc>
          <w:tcPr>
            <w:tcW w:w="1423" w:type="dxa"/>
            <w:tcBorders>
              <w:top w:val="single" w:color="auto" w:sz="4" w:space="0"/>
              <w:left w:val="nil"/>
              <w:bottom w:val="single" w:color="auto" w:sz="4" w:space="0"/>
              <w:right w:val="single" w:color="auto" w:sz="4" w:space="0"/>
            </w:tcBorders>
            <w:noWrap/>
            <w:vAlign w:val="center"/>
          </w:tcPr>
          <w:p>
            <w:pPr>
              <w:pStyle w:val="25"/>
              <w:bidi w:val="0"/>
              <w:rPr>
                <w:rFonts w:hint="default"/>
                <w:lang w:val="en-US" w:eastAsia="zh-CN"/>
              </w:rPr>
            </w:pPr>
            <w:r>
              <w:rPr>
                <w:rFonts w:hint="eastAsia"/>
                <w:lang w:val="en-US" w:eastAsia="zh-CN"/>
              </w:rPr>
              <w:t>112</w:t>
            </w:r>
          </w:p>
        </w:tc>
      </w:tr>
      <w:tr>
        <w:tblPrEx>
          <w:tblCellMar>
            <w:top w:w="0" w:type="dxa"/>
            <w:left w:w="108" w:type="dxa"/>
            <w:bottom w:w="0" w:type="dxa"/>
            <w:right w:w="108" w:type="dxa"/>
          </w:tblCellMar>
        </w:tblPrEx>
        <w:trPr>
          <w:trHeight w:val="284" w:hRule="atLeast"/>
          <w:jc w:val="center"/>
        </w:trPr>
        <w:tc>
          <w:tcPr>
            <w:tcW w:w="856" w:type="dxa"/>
            <w:tcBorders>
              <w:top w:val="single" w:color="auto" w:sz="4" w:space="0"/>
              <w:left w:val="single" w:color="auto" w:sz="4" w:space="0"/>
              <w:bottom w:val="single" w:color="auto" w:sz="4" w:space="0"/>
              <w:right w:val="single" w:color="auto" w:sz="4" w:space="0"/>
            </w:tcBorders>
            <w:noWrap w:val="0"/>
            <w:vAlign w:val="center"/>
          </w:tcPr>
          <w:p>
            <w:pPr>
              <w:pStyle w:val="25"/>
              <w:bidi w:val="0"/>
              <w:rPr>
                <w:rFonts w:hint="eastAsia" w:eastAsia="宋体"/>
                <w:lang w:val="en-US" w:eastAsia="zh-CN"/>
              </w:rPr>
            </w:pPr>
            <w:r>
              <w:rPr>
                <w:rFonts w:hint="eastAsia"/>
                <w:lang w:val="en-US" w:eastAsia="zh-CN"/>
              </w:rPr>
              <w:t>8</w:t>
            </w:r>
          </w:p>
        </w:tc>
        <w:tc>
          <w:tcPr>
            <w:tcW w:w="1157" w:type="dxa"/>
            <w:tcBorders>
              <w:top w:val="single" w:color="auto" w:sz="4" w:space="0"/>
              <w:left w:val="nil"/>
              <w:bottom w:val="single" w:color="auto" w:sz="4" w:space="0"/>
              <w:right w:val="single" w:color="auto" w:sz="4" w:space="0"/>
            </w:tcBorders>
            <w:noWrap w:val="0"/>
            <w:vAlign w:val="center"/>
          </w:tcPr>
          <w:p>
            <w:pPr>
              <w:pStyle w:val="25"/>
              <w:bidi w:val="0"/>
            </w:pPr>
            <w:r>
              <w:rPr>
                <w:rFonts w:hint="eastAsia"/>
                <w:lang w:val="en-US" w:eastAsia="zh-CN"/>
              </w:rPr>
              <w:t>曙光村</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pStyle w:val="25"/>
              <w:bidi w:val="0"/>
            </w:pPr>
            <w:r>
              <w:rPr>
                <w:rFonts w:hint="eastAsia"/>
                <w:lang w:val="en-US" w:eastAsia="zh-CN"/>
              </w:rPr>
              <w:t>3队</w:t>
            </w:r>
          </w:p>
        </w:tc>
        <w:tc>
          <w:tcPr>
            <w:tcW w:w="1462" w:type="dxa"/>
            <w:tcBorders>
              <w:top w:val="single" w:color="auto" w:sz="4" w:space="0"/>
              <w:left w:val="single" w:color="auto" w:sz="4" w:space="0"/>
              <w:bottom w:val="single" w:color="auto" w:sz="4" w:space="0"/>
              <w:right w:val="single" w:color="auto" w:sz="4" w:space="0"/>
            </w:tcBorders>
            <w:noWrap/>
            <w:vAlign w:val="center"/>
          </w:tcPr>
          <w:p>
            <w:pPr>
              <w:pStyle w:val="25"/>
              <w:bidi w:val="0"/>
              <w:rPr>
                <w:rFonts w:hint="default"/>
                <w:lang w:val="en-US" w:eastAsia="zh-CN"/>
              </w:rPr>
            </w:pPr>
            <w:r>
              <w:rPr>
                <w:rFonts w:hint="eastAsia"/>
                <w:lang w:val="en-US" w:eastAsia="zh-CN"/>
              </w:rPr>
              <w:t>39</w:t>
            </w:r>
          </w:p>
        </w:tc>
        <w:tc>
          <w:tcPr>
            <w:tcW w:w="1462" w:type="dxa"/>
            <w:tcBorders>
              <w:top w:val="single" w:color="auto" w:sz="4" w:space="0"/>
              <w:left w:val="single" w:color="auto" w:sz="4" w:space="0"/>
              <w:bottom w:val="single" w:color="auto" w:sz="4" w:space="0"/>
              <w:right w:val="single" w:color="auto" w:sz="4" w:space="0"/>
            </w:tcBorders>
            <w:noWrap/>
            <w:vAlign w:val="center"/>
          </w:tcPr>
          <w:p>
            <w:pPr>
              <w:pStyle w:val="25"/>
              <w:bidi w:val="0"/>
              <w:rPr>
                <w:rFonts w:hint="eastAsia"/>
                <w:lang w:val="en-US" w:eastAsia="zh-CN"/>
              </w:rPr>
            </w:pPr>
            <w:r>
              <w:rPr>
                <w:rFonts w:hint="eastAsia"/>
                <w:lang w:val="en-US" w:eastAsia="zh-CN"/>
              </w:rPr>
              <w:t>62</w:t>
            </w:r>
          </w:p>
        </w:tc>
        <w:tc>
          <w:tcPr>
            <w:tcW w:w="1462" w:type="dxa"/>
            <w:tcBorders>
              <w:top w:val="single" w:color="auto" w:sz="4" w:space="0"/>
              <w:left w:val="single" w:color="auto" w:sz="4" w:space="0"/>
              <w:bottom w:val="single" w:color="auto" w:sz="4" w:space="0"/>
              <w:right w:val="single" w:color="auto" w:sz="4" w:space="0"/>
            </w:tcBorders>
            <w:noWrap/>
            <w:vAlign w:val="center"/>
          </w:tcPr>
          <w:p>
            <w:pPr>
              <w:pStyle w:val="25"/>
              <w:bidi w:val="0"/>
              <w:rPr>
                <w:rFonts w:hint="eastAsia"/>
                <w:lang w:val="en-US" w:eastAsia="zh-CN"/>
              </w:rPr>
            </w:pPr>
            <w:r>
              <w:rPr>
                <w:rFonts w:hint="eastAsia"/>
                <w:lang w:val="en-US" w:eastAsia="zh-CN"/>
              </w:rPr>
              <w:t>16</w:t>
            </w:r>
          </w:p>
        </w:tc>
        <w:tc>
          <w:tcPr>
            <w:tcW w:w="1423" w:type="dxa"/>
            <w:tcBorders>
              <w:top w:val="single" w:color="auto" w:sz="4" w:space="0"/>
              <w:left w:val="nil"/>
              <w:bottom w:val="single" w:color="auto" w:sz="4" w:space="0"/>
              <w:right w:val="single" w:color="auto" w:sz="4" w:space="0"/>
            </w:tcBorders>
            <w:noWrap/>
            <w:vAlign w:val="center"/>
          </w:tcPr>
          <w:p>
            <w:pPr>
              <w:pStyle w:val="25"/>
              <w:bidi w:val="0"/>
              <w:rPr>
                <w:rFonts w:hint="eastAsia"/>
                <w:lang w:val="en-US" w:eastAsia="zh-CN"/>
              </w:rPr>
            </w:pPr>
            <w:r>
              <w:rPr>
                <w:rFonts w:hint="eastAsia"/>
                <w:lang w:val="en-US" w:eastAsia="zh-CN"/>
              </w:rPr>
              <w:t>58</w:t>
            </w:r>
          </w:p>
        </w:tc>
      </w:tr>
      <w:tr>
        <w:tblPrEx>
          <w:tblCellMar>
            <w:top w:w="0" w:type="dxa"/>
            <w:left w:w="108" w:type="dxa"/>
            <w:bottom w:w="0" w:type="dxa"/>
            <w:right w:w="108" w:type="dxa"/>
          </w:tblCellMar>
        </w:tblPrEx>
        <w:trPr>
          <w:trHeight w:val="284" w:hRule="atLeast"/>
          <w:jc w:val="center"/>
        </w:trPr>
        <w:tc>
          <w:tcPr>
            <w:tcW w:w="856" w:type="dxa"/>
            <w:tcBorders>
              <w:top w:val="single" w:color="auto" w:sz="4" w:space="0"/>
              <w:left w:val="single" w:color="auto" w:sz="4" w:space="0"/>
              <w:bottom w:val="single" w:color="auto" w:sz="4" w:space="0"/>
              <w:right w:val="single" w:color="auto" w:sz="4" w:space="0"/>
            </w:tcBorders>
            <w:noWrap w:val="0"/>
            <w:vAlign w:val="center"/>
          </w:tcPr>
          <w:p>
            <w:pPr>
              <w:pStyle w:val="25"/>
              <w:bidi w:val="0"/>
              <w:rPr>
                <w:rFonts w:hint="eastAsia" w:eastAsia="宋体"/>
                <w:lang w:val="en-US" w:eastAsia="zh-CN"/>
              </w:rPr>
            </w:pPr>
            <w:r>
              <w:rPr>
                <w:rFonts w:hint="eastAsia"/>
                <w:lang w:val="en-US" w:eastAsia="zh-CN"/>
              </w:rPr>
              <w:t>9</w:t>
            </w:r>
          </w:p>
        </w:tc>
        <w:tc>
          <w:tcPr>
            <w:tcW w:w="1157" w:type="dxa"/>
            <w:tcBorders>
              <w:top w:val="single" w:color="auto" w:sz="4" w:space="0"/>
              <w:left w:val="nil"/>
              <w:bottom w:val="single" w:color="auto" w:sz="4" w:space="0"/>
              <w:right w:val="single" w:color="auto" w:sz="4" w:space="0"/>
            </w:tcBorders>
            <w:noWrap w:val="0"/>
            <w:vAlign w:val="center"/>
          </w:tcPr>
          <w:p>
            <w:pPr>
              <w:pStyle w:val="25"/>
              <w:bidi w:val="0"/>
            </w:pPr>
            <w:r>
              <w:rPr>
                <w:rFonts w:hint="eastAsia"/>
                <w:lang w:val="en-US" w:eastAsia="zh-CN"/>
              </w:rPr>
              <w:t>曙光村</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pStyle w:val="25"/>
              <w:bidi w:val="0"/>
            </w:pPr>
            <w:r>
              <w:rPr>
                <w:rFonts w:hint="eastAsia"/>
                <w:lang w:val="en-US" w:eastAsia="zh-CN"/>
              </w:rPr>
              <w:t>4队</w:t>
            </w:r>
          </w:p>
        </w:tc>
        <w:tc>
          <w:tcPr>
            <w:tcW w:w="1462" w:type="dxa"/>
            <w:tcBorders>
              <w:top w:val="single" w:color="auto" w:sz="4" w:space="0"/>
              <w:left w:val="single" w:color="auto" w:sz="4" w:space="0"/>
              <w:bottom w:val="single" w:color="auto" w:sz="4" w:space="0"/>
              <w:right w:val="single" w:color="auto" w:sz="4" w:space="0"/>
            </w:tcBorders>
            <w:noWrap/>
            <w:vAlign w:val="center"/>
          </w:tcPr>
          <w:p>
            <w:pPr>
              <w:pStyle w:val="25"/>
              <w:bidi w:val="0"/>
              <w:rPr>
                <w:rFonts w:hint="default"/>
                <w:lang w:val="en-US" w:eastAsia="zh-CN"/>
              </w:rPr>
            </w:pPr>
            <w:r>
              <w:rPr>
                <w:rFonts w:hint="eastAsia"/>
                <w:lang w:val="en-US" w:eastAsia="zh-CN"/>
              </w:rPr>
              <w:t>32</w:t>
            </w:r>
          </w:p>
        </w:tc>
        <w:tc>
          <w:tcPr>
            <w:tcW w:w="1462" w:type="dxa"/>
            <w:tcBorders>
              <w:top w:val="single" w:color="auto" w:sz="4" w:space="0"/>
              <w:left w:val="single" w:color="auto" w:sz="4" w:space="0"/>
              <w:bottom w:val="single" w:color="auto" w:sz="4" w:space="0"/>
              <w:right w:val="single" w:color="auto" w:sz="4" w:space="0"/>
            </w:tcBorders>
            <w:noWrap/>
            <w:vAlign w:val="center"/>
          </w:tcPr>
          <w:p>
            <w:pPr>
              <w:pStyle w:val="25"/>
              <w:bidi w:val="0"/>
              <w:rPr>
                <w:rFonts w:hint="eastAsia"/>
                <w:lang w:val="en-US" w:eastAsia="zh-CN"/>
              </w:rPr>
            </w:pPr>
            <w:r>
              <w:rPr>
                <w:rFonts w:hint="eastAsia"/>
                <w:lang w:val="en-US" w:eastAsia="zh-CN"/>
              </w:rPr>
              <w:t>67</w:t>
            </w:r>
          </w:p>
        </w:tc>
        <w:tc>
          <w:tcPr>
            <w:tcW w:w="1462" w:type="dxa"/>
            <w:tcBorders>
              <w:top w:val="single" w:color="auto" w:sz="4" w:space="0"/>
              <w:left w:val="single" w:color="auto" w:sz="4" w:space="0"/>
              <w:bottom w:val="single" w:color="auto" w:sz="4" w:space="0"/>
              <w:right w:val="single" w:color="auto" w:sz="4" w:space="0"/>
            </w:tcBorders>
            <w:noWrap/>
            <w:vAlign w:val="center"/>
          </w:tcPr>
          <w:p>
            <w:pPr>
              <w:pStyle w:val="25"/>
              <w:bidi w:val="0"/>
              <w:rPr>
                <w:rFonts w:hint="eastAsia"/>
                <w:lang w:val="en-US" w:eastAsia="zh-CN"/>
              </w:rPr>
            </w:pPr>
            <w:r>
              <w:rPr>
                <w:rFonts w:hint="eastAsia"/>
                <w:lang w:val="en-US" w:eastAsia="zh-CN"/>
              </w:rPr>
              <w:t>15</w:t>
            </w:r>
          </w:p>
        </w:tc>
        <w:tc>
          <w:tcPr>
            <w:tcW w:w="1423" w:type="dxa"/>
            <w:tcBorders>
              <w:top w:val="single" w:color="auto" w:sz="4" w:space="0"/>
              <w:left w:val="nil"/>
              <w:bottom w:val="single" w:color="auto" w:sz="4" w:space="0"/>
              <w:right w:val="single" w:color="auto" w:sz="4" w:space="0"/>
            </w:tcBorders>
            <w:noWrap/>
            <w:vAlign w:val="center"/>
          </w:tcPr>
          <w:p>
            <w:pPr>
              <w:pStyle w:val="25"/>
              <w:bidi w:val="0"/>
              <w:rPr>
                <w:rFonts w:hint="eastAsia"/>
                <w:lang w:val="en-US" w:eastAsia="zh-CN"/>
              </w:rPr>
            </w:pPr>
            <w:r>
              <w:rPr>
                <w:rFonts w:hint="eastAsia"/>
                <w:lang w:val="en-US" w:eastAsia="zh-CN"/>
              </w:rPr>
              <w:t>68</w:t>
            </w:r>
          </w:p>
        </w:tc>
      </w:tr>
    </w:tbl>
    <w:p>
      <w:pPr>
        <w:pStyle w:val="7"/>
        <w:rPr>
          <w:rFonts w:hint="eastAsia"/>
          <w:highlight w:val="none"/>
        </w:rPr>
      </w:pPr>
      <w:r>
        <w:rPr>
          <w:rFonts w:hint="eastAsia"/>
          <w:highlight w:val="none"/>
        </w:rPr>
        <w:t>2.2.</w:t>
      </w:r>
      <w:r>
        <w:rPr>
          <w:rFonts w:hint="eastAsia"/>
          <w:highlight w:val="none"/>
          <w:lang w:val="en-US" w:eastAsia="zh-CN"/>
        </w:rPr>
        <w:t>3</w:t>
      </w:r>
      <w:r>
        <w:rPr>
          <w:rFonts w:hint="eastAsia"/>
          <w:highlight w:val="none"/>
        </w:rPr>
        <w:t xml:space="preserve"> 社会经济发展概况</w:t>
      </w:r>
      <w:bookmarkEnd w:id="96"/>
    </w:p>
    <w:p>
      <w:pPr>
        <w:pStyle w:val="2"/>
        <w:bidi w:val="0"/>
        <w:rPr>
          <w:rFonts w:hint="eastAsia"/>
          <w:highlight w:val="none"/>
          <w:lang w:val="en-US" w:eastAsia="zh-CN"/>
        </w:rPr>
      </w:pPr>
      <w:bookmarkStart w:id="97" w:name="_Toc369878592"/>
      <w:bookmarkStart w:id="98" w:name="_Toc369779598"/>
      <w:bookmarkStart w:id="99" w:name="_Toc369878447"/>
      <w:bookmarkStart w:id="100" w:name="_Toc468459050"/>
      <w:bookmarkStart w:id="101" w:name="_Toc278015452"/>
      <w:bookmarkStart w:id="102" w:name="_Toc277675112"/>
      <w:bookmarkStart w:id="103" w:name="_Toc369878731"/>
      <w:bookmarkStart w:id="104" w:name="_Toc372229812"/>
      <w:bookmarkStart w:id="105" w:name="_Toc278380810"/>
      <w:bookmarkStart w:id="106" w:name="_Toc278380989"/>
      <w:bookmarkStart w:id="107" w:name="_Toc277503765"/>
      <w:bookmarkStart w:id="108" w:name="_Toc370547004"/>
      <w:bookmarkStart w:id="109" w:name="_Toc460400409"/>
      <w:bookmarkStart w:id="110" w:name="_Toc18439"/>
      <w:r>
        <w:rPr>
          <w:rFonts w:hint="eastAsia"/>
          <w:highlight w:val="none"/>
          <w:lang w:val="en-US" w:eastAsia="zh-CN"/>
        </w:rPr>
        <w:t>2018年初以来，紧紧围绕区委、区政府的决策部署，坚持稳中求进，积极探索营商环境建设新思路、新方法，抢抓机遇、先行先试、补齐短板，以提高发展质量和效益为中心，全力做好“稳增长、转方式、促改革、惠民生”的各项工作，促进经济运行稳中向好持续发展。</w:t>
      </w:r>
    </w:p>
    <w:p>
      <w:pPr>
        <w:pStyle w:val="2"/>
        <w:bidi w:val="0"/>
        <w:rPr>
          <w:rFonts w:hint="eastAsia"/>
          <w:highlight w:val="none"/>
          <w:lang w:val="en-US" w:eastAsia="zh-CN"/>
        </w:rPr>
      </w:pPr>
      <w:r>
        <w:rPr>
          <w:rFonts w:hint="eastAsia"/>
          <w:highlight w:val="none"/>
          <w:lang w:val="en-US" w:eastAsia="zh-CN"/>
        </w:rPr>
        <w:t>（一） 主要经济指标运行情况</w:t>
      </w:r>
    </w:p>
    <w:p>
      <w:pPr>
        <w:pStyle w:val="2"/>
        <w:bidi w:val="0"/>
        <w:rPr>
          <w:rFonts w:hint="eastAsia"/>
          <w:highlight w:val="none"/>
          <w:lang w:val="en-US" w:eastAsia="zh-CN"/>
        </w:rPr>
      </w:pPr>
      <w:r>
        <w:rPr>
          <w:rFonts w:hint="eastAsia"/>
          <w:highlight w:val="none"/>
          <w:lang w:val="en-US" w:eastAsia="zh-CN"/>
        </w:rPr>
        <w:t xml:space="preserve">1、国民经济稳中向好。全区地区生产总值完成11.4亿元，同比增长6.1%。其中：第一产业同比增长6.6%。第二产业同比下降3.2%，第三产业同比增长6.6%。社会消费品零售总额完成5.9亿元，同比增长8.1%。 </w:t>
      </w:r>
    </w:p>
    <w:p>
      <w:pPr>
        <w:pStyle w:val="2"/>
        <w:bidi w:val="0"/>
        <w:rPr>
          <w:rFonts w:hint="eastAsia"/>
          <w:highlight w:val="none"/>
          <w:lang w:val="en-US" w:eastAsia="zh-CN"/>
        </w:rPr>
      </w:pPr>
      <w:r>
        <w:rPr>
          <w:rFonts w:hint="eastAsia"/>
          <w:highlight w:val="none"/>
          <w:lang w:val="en-US" w:eastAsia="zh-CN"/>
        </w:rPr>
        <w:t>2、农业经济稳定增长。推动农业发展挖潜力、提质量、增效益，不断深化农业供给侧结构性改革，加大对现有农产品加工企业的扶持服务力度，目前，全区规上农产品加工企业4户。2018年，“全国农村一二三产业融合发展先导区”获得农业农村部批复。</w:t>
      </w:r>
    </w:p>
    <w:p>
      <w:pPr>
        <w:pStyle w:val="2"/>
        <w:bidi w:val="0"/>
        <w:rPr>
          <w:rFonts w:hint="eastAsia"/>
          <w:highlight w:val="none"/>
          <w:lang w:val="en-US" w:eastAsia="zh-CN"/>
        </w:rPr>
      </w:pPr>
      <w:r>
        <w:rPr>
          <w:rFonts w:hint="eastAsia"/>
          <w:highlight w:val="none"/>
          <w:lang w:val="en-US" w:eastAsia="zh-CN"/>
        </w:rPr>
        <w:t>3、工业经济运行下滑。 今年，受环保和“去产能”政策因素影响，黑龙江翔宇实业有限责任公司的注销及嘉兴热电厂的供热资产和经营权移交华能，导致规上工业增速下降。</w:t>
      </w:r>
    </w:p>
    <w:p>
      <w:pPr>
        <w:pStyle w:val="2"/>
        <w:bidi w:val="0"/>
        <w:rPr>
          <w:rFonts w:hint="eastAsia"/>
          <w:highlight w:val="none"/>
          <w:lang w:val="en-US" w:eastAsia="zh-CN"/>
        </w:rPr>
      </w:pPr>
      <w:r>
        <w:rPr>
          <w:rFonts w:hint="eastAsia"/>
          <w:highlight w:val="none"/>
          <w:lang w:val="en-US" w:eastAsia="zh-CN"/>
        </w:rPr>
        <w:t>4、固定资产投资加快。固定资产投资增长20.6%。重点推进项目14个，完成投资3亿元，开复工率100%，其中：民生项目5个，投资1.64亿元，占完成投资的54.7%；工业加工项目3个，投资0.67亿元，占完成投资的22.3%；种、养殖业项目5个，投资0.64亿元，占完成投资的21.3%； 旅游项目1个，投资0.05亿元，占完成投资的1.7%。</w:t>
      </w:r>
    </w:p>
    <w:p>
      <w:pPr>
        <w:pStyle w:val="2"/>
        <w:bidi w:val="0"/>
        <w:rPr>
          <w:rFonts w:hint="eastAsia"/>
          <w:highlight w:val="none"/>
          <w:lang w:val="en-US" w:eastAsia="zh-CN"/>
        </w:rPr>
      </w:pPr>
      <w:r>
        <w:rPr>
          <w:rFonts w:hint="eastAsia"/>
          <w:highlight w:val="none"/>
          <w:lang w:val="en-US" w:eastAsia="zh-CN"/>
        </w:rPr>
        <w:t>推进市级重点产业项目1个，总投资1.1亿元，完成年度计划100%。</w:t>
      </w:r>
    </w:p>
    <w:p>
      <w:pPr>
        <w:pStyle w:val="2"/>
        <w:bidi w:val="0"/>
        <w:rPr>
          <w:rFonts w:hint="default"/>
          <w:highlight w:val="none"/>
          <w:lang w:val="en-US" w:eastAsia="zh-CN"/>
        </w:rPr>
      </w:pPr>
      <w:r>
        <w:rPr>
          <w:rFonts w:hint="default"/>
          <w:highlight w:val="none"/>
          <w:lang w:val="en-US" w:eastAsia="zh-CN"/>
        </w:rPr>
        <w:t>5、财税收入稳固提升。地方公共财政预算收入完成3,552万元，完成年初计划122%。</w:t>
      </w:r>
    </w:p>
    <w:p>
      <w:pPr>
        <w:pStyle w:val="2"/>
        <w:bidi w:val="0"/>
        <w:rPr>
          <w:rFonts w:hint="default"/>
          <w:highlight w:val="none"/>
          <w:lang w:val="en-US" w:eastAsia="zh-CN"/>
        </w:rPr>
      </w:pPr>
      <w:r>
        <w:rPr>
          <w:rFonts w:hint="default"/>
          <w:highlight w:val="none"/>
          <w:lang w:val="en-US" w:eastAsia="zh-CN"/>
        </w:rPr>
        <w:t>6、金融存贷款稳定增长。金融机构各项存款余额26.2亿元，同比增长7.7%；各项贷款余额0.34亿元，同比增长26.8%。</w:t>
      </w:r>
    </w:p>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Pr>
        <w:pStyle w:val="7"/>
        <w:outlineLvl w:val="1"/>
        <w:rPr>
          <w:rFonts w:hint="eastAsia"/>
        </w:rPr>
      </w:pPr>
      <w:bookmarkStart w:id="111" w:name="_Toc32520"/>
      <w:bookmarkStart w:id="112" w:name="_Toc11759_WPSOffice_Level2"/>
      <w:bookmarkStart w:id="113" w:name="_Toc26084"/>
      <w:bookmarkStart w:id="114" w:name="_Toc29350_WPSOffice_Level2"/>
      <w:bookmarkStart w:id="115" w:name="_Toc27047"/>
      <w:bookmarkStart w:id="116" w:name="_Toc10601"/>
      <w:r>
        <w:rPr>
          <w:rFonts w:hint="eastAsia"/>
        </w:rPr>
        <w:t>2.3生态环境保护状况</w:t>
      </w:r>
      <w:bookmarkEnd w:id="111"/>
      <w:bookmarkEnd w:id="112"/>
      <w:bookmarkEnd w:id="113"/>
      <w:bookmarkEnd w:id="114"/>
      <w:bookmarkEnd w:id="115"/>
      <w:bookmarkEnd w:id="116"/>
    </w:p>
    <w:p>
      <w:pPr>
        <w:pStyle w:val="7"/>
        <w:bidi w:val="0"/>
        <w:rPr>
          <w:rFonts w:hint="eastAsia"/>
          <w:lang w:val="en-US" w:eastAsia="zh-CN"/>
        </w:rPr>
      </w:pPr>
      <w:r>
        <w:rPr>
          <w:rFonts w:hint="eastAsia"/>
          <w:lang w:val="en-US" w:eastAsia="zh-CN"/>
        </w:rPr>
        <w:t>2.3.1饮用水水源</w:t>
      </w:r>
    </w:p>
    <w:p>
      <w:pPr>
        <w:pStyle w:val="2"/>
        <w:bidi w:val="0"/>
        <w:rPr>
          <w:rFonts w:hint="eastAsia"/>
          <w:lang w:val="en-US" w:eastAsia="zh-CN"/>
        </w:rPr>
      </w:pPr>
      <w:r>
        <w:rPr>
          <w:rFonts w:hint="eastAsia"/>
          <w:lang w:val="en-US" w:eastAsia="zh-CN"/>
        </w:rPr>
        <w:t>目前，友好区水源地保护区范围正在调整中，调整工作正在进行，预计12月份完成调整。调整后，无村庄位于饮用水水源地保护区范围内。</w:t>
      </w:r>
    </w:p>
    <w:p>
      <w:pPr>
        <w:pStyle w:val="7"/>
        <w:bidi w:val="0"/>
        <w:rPr>
          <w:rFonts w:hint="eastAsia"/>
          <w:lang w:val="en-US" w:eastAsia="zh-CN"/>
        </w:rPr>
      </w:pPr>
      <w:r>
        <w:rPr>
          <w:rFonts w:hint="eastAsia"/>
          <w:lang w:val="en-US" w:eastAsia="zh-CN"/>
        </w:rPr>
        <w:t>2.3.1.1加工厂水源地</w:t>
      </w:r>
    </w:p>
    <w:p>
      <w:pPr>
        <w:pStyle w:val="2"/>
        <w:bidi w:val="0"/>
        <w:rPr>
          <w:rFonts w:hint="eastAsia"/>
          <w:lang w:val="en-US" w:eastAsia="zh-CN"/>
        </w:rPr>
      </w:pPr>
      <w:r>
        <w:rPr>
          <w:rFonts w:hint="eastAsia"/>
          <w:lang w:val="en-US" w:eastAsia="zh-CN"/>
        </w:rPr>
        <w:t>①一级保护区</w:t>
      </w:r>
    </w:p>
    <w:p>
      <w:pPr>
        <w:pStyle w:val="2"/>
        <w:bidi w:val="0"/>
        <w:rPr>
          <w:rFonts w:hint="eastAsia"/>
          <w:lang w:val="en-US" w:eastAsia="zh-CN"/>
        </w:rPr>
      </w:pPr>
      <w:r>
        <w:rPr>
          <w:rFonts w:hint="eastAsia"/>
          <w:lang w:val="en-US" w:eastAsia="zh-CN"/>
        </w:rPr>
        <w:t>根据《黑龙江省伊春市友好区双子河右侧水源地水文地质勘察报告》，加工厂水源地利用的是砂砾石孔隙潜水，按照《规范》，保护区半径计算公式采用《规范》提供的孔隙水潜水型水源保护区的划分方法中“中小型水源地保护区划分”计算的经验公式。计算结果大于砂砾石一级保护区半径下限值，确定一级保护区半径为295米。同时依据河流型水源地的划分方法划定一级保护区，加工厂水源地一级保护区水域范围为从SJ1水井对应的双子河断面上溯1.0公里，下游边界为SJ3水井对应的双子河断面下游100米处，水域宽度为提防内双子河五年一遇洪水所能淹没的区域；一级保护区陆域长度与水域等长，陆域宽度为双子河两岸堤防纵深100米。最终确定的加工厂水源地一级保护区为按照地下水水源地和河流型水源地两种划分方法确定范围的最大边界。</w:t>
      </w:r>
    </w:p>
    <w:p>
      <w:pPr>
        <w:pStyle w:val="2"/>
        <w:bidi w:val="0"/>
        <w:rPr>
          <w:rFonts w:hint="eastAsia"/>
          <w:lang w:val="en-US" w:eastAsia="zh-CN"/>
        </w:rPr>
      </w:pPr>
      <w:r>
        <w:rPr>
          <w:rFonts w:hint="eastAsia"/>
          <w:lang w:val="en-US" w:eastAsia="zh-CN"/>
        </w:rPr>
        <w:t>加工厂水源地一级保护区面积为1.521平方公里。</w:t>
      </w:r>
    </w:p>
    <w:p>
      <w:pPr>
        <w:pStyle w:val="2"/>
        <w:bidi w:val="0"/>
        <w:rPr>
          <w:rFonts w:hint="eastAsia"/>
          <w:lang w:val="en-US" w:eastAsia="zh-CN"/>
        </w:rPr>
      </w:pPr>
      <w:r>
        <w:rPr>
          <w:rFonts w:hint="eastAsia"/>
          <w:lang w:val="en-US" w:eastAsia="zh-CN"/>
        </w:rPr>
        <w:t>②二级保护区</w:t>
      </w:r>
    </w:p>
    <w:p>
      <w:pPr>
        <w:pStyle w:val="2"/>
        <w:bidi w:val="0"/>
        <w:rPr>
          <w:rFonts w:hint="eastAsia"/>
          <w:lang w:val="en-US" w:eastAsia="zh-CN"/>
        </w:rPr>
      </w:pPr>
      <w:r>
        <w:rPr>
          <w:rFonts w:hint="eastAsia"/>
          <w:lang w:val="en-US" w:eastAsia="zh-CN"/>
        </w:rPr>
        <w:t>加工厂水源地二级保护区上游边界定为中心林场上游，并包括中心林场。同时将此断面下位于双子河两岸的两条支流的集水区域划入二级保护区。因此，加工厂水源地二级保护区水域长度为一级保护区上游边界上溯9.1公里，下游边界为一级保护区下游边界下延200米。水域宽度为防洪堤内的水域。二级保护区陆域长度与水域等长，陆域宽度分为两部分：在友好区址内充分利用永久性标示标志保护区边界，在双子河北岸以城区内一条道路为边界；在双子河南岸由于有三条小的支流汇入，故以双子河流域分水岭为边界。在友好区址以外，由于有多条支流汇入双子河，且其河流长度较短，均小于10公里，同时考虑山区面源污染问题，故二级保护区以双子河流域分水岭为边界。</w:t>
      </w:r>
    </w:p>
    <w:p>
      <w:pPr>
        <w:pStyle w:val="2"/>
        <w:bidi w:val="0"/>
        <w:rPr>
          <w:rFonts w:hint="eastAsia"/>
          <w:lang w:val="en-US" w:eastAsia="zh-CN"/>
        </w:rPr>
      </w:pPr>
      <w:r>
        <w:rPr>
          <w:rFonts w:hint="eastAsia"/>
          <w:lang w:val="en-US" w:eastAsia="zh-CN"/>
        </w:rPr>
        <w:t>加工厂水源地二级保护区面积为128.361平方公里。</w:t>
      </w:r>
    </w:p>
    <w:p>
      <w:pPr>
        <w:pStyle w:val="7"/>
        <w:bidi w:val="0"/>
        <w:rPr>
          <w:rFonts w:hint="eastAsia"/>
          <w:lang w:val="en-US" w:eastAsia="zh-CN"/>
        </w:rPr>
      </w:pPr>
      <w:r>
        <w:rPr>
          <w:rFonts w:hint="eastAsia"/>
          <w:lang w:val="en-US" w:eastAsia="zh-CN"/>
        </w:rPr>
        <w:t>2.3.1.2友好水源地</w:t>
      </w:r>
    </w:p>
    <w:p>
      <w:pPr>
        <w:pStyle w:val="2"/>
        <w:bidi w:val="0"/>
        <w:rPr>
          <w:rFonts w:hint="eastAsia"/>
          <w:lang w:val="en-US" w:eastAsia="zh-CN"/>
        </w:rPr>
      </w:pPr>
      <w:r>
        <w:rPr>
          <w:rFonts w:hint="eastAsia"/>
          <w:lang w:val="en-US" w:eastAsia="zh-CN"/>
        </w:rPr>
        <w:t>①一级保护区</w:t>
      </w:r>
    </w:p>
    <w:p>
      <w:pPr>
        <w:pStyle w:val="2"/>
        <w:bidi w:val="0"/>
        <w:rPr>
          <w:rFonts w:hint="eastAsia"/>
          <w:lang w:val="en-US" w:eastAsia="zh-CN"/>
        </w:rPr>
      </w:pPr>
      <w:r>
        <w:rPr>
          <w:rFonts w:hint="eastAsia"/>
          <w:lang w:val="en-US" w:eastAsia="zh-CN"/>
        </w:rPr>
        <w:t>友好水源地利用的是砂砾石孔隙水和基岩裂隙水（1#、3#、6#、7#、8#水井），均属于潜水，按照《规范》，计算友好水源地取水井一级保护区的半径为265米。友好水源地孔隙潜水主要接受双子河水补给和大气降水，因此该水源地划分同样需依据河流型水源地的划分方法划定保护区。友好水源地一级保护区水域范围为从1#水井对应的双子河断面上溯1.0公里，下游边界为7#水井对应的双子河断面下游100米处；水域宽度为双子河五年一遇洪水淹没区域。一级保护区陆域长度与水域等长，陆域宽度为沿岸纵深与防洪堤的水平距离100米。友好水源地一级保护区为按照地下水水源地和河流型水源地两种划分方法确定范围的最大边界。</w:t>
      </w:r>
    </w:p>
    <w:p>
      <w:pPr>
        <w:pStyle w:val="2"/>
        <w:bidi w:val="0"/>
        <w:rPr>
          <w:rFonts w:hint="eastAsia"/>
          <w:lang w:val="en-US" w:eastAsia="zh-CN"/>
        </w:rPr>
      </w:pPr>
      <w:r>
        <w:rPr>
          <w:rFonts w:hint="eastAsia"/>
          <w:lang w:val="en-US" w:eastAsia="zh-CN"/>
        </w:rPr>
        <w:t>友好水源地一级保护区面积为1.544平方公里。</w:t>
      </w:r>
    </w:p>
    <w:p>
      <w:pPr>
        <w:pStyle w:val="2"/>
        <w:bidi w:val="0"/>
        <w:rPr>
          <w:rFonts w:hint="eastAsia"/>
          <w:lang w:val="en-US" w:eastAsia="zh-CN"/>
        </w:rPr>
      </w:pPr>
      <w:r>
        <w:rPr>
          <w:rFonts w:hint="eastAsia"/>
          <w:lang w:val="en-US" w:eastAsia="zh-CN"/>
        </w:rPr>
        <w:t>②二级保护区</w:t>
      </w:r>
    </w:p>
    <w:p>
      <w:pPr>
        <w:pStyle w:val="2"/>
        <w:bidi w:val="0"/>
        <w:rPr>
          <w:rFonts w:hint="eastAsia"/>
          <w:lang w:val="en-US" w:eastAsia="zh-CN"/>
        </w:rPr>
      </w:pPr>
      <w:r>
        <w:rPr>
          <w:rFonts w:hint="eastAsia"/>
          <w:lang w:val="en-US" w:eastAsia="zh-CN"/>
        </w:rPr>
        <w:t>采用河流型水源地的划分方法划定了友好水源地二级保护区。友好水源地二级保护区水域长度为一级保护区上游边界上溯5.4公里，下游边界为一级保护区下游边界下延200米。水域宽度为双子河防洪堤内的水域。二级保护区陆域长度与水域等长，二级保护区陆域宽度分两部分：在友好区址内充分利用永久性明显标示标志保护区边界，在双子河北岸以城区内道路为边界；在水源地南岸以双子河南岸一条沿河公路为边界，在水源地上游由于有三条小的支流汇入，故以双子河流域分水岭为边界。在友好区址以外二级保护区，由于有多条支流汇入双子河，且其河流长度较短，均小于10公里，故二级保护区以双子河流域分水岭为边界。</w:t>
      </w:r>
    </w:p>
    <w:p>
      <w:pPr>
        <w:pStyle w:val="2"/>
        <w:bidi w:val="0"/>
        <w:rPr>
          <w:rFonts w:hint="eastAsia"/>
          <w:lang w:val="en-US" w:eastAsia="zh-CN"/>
        </w:rPr>
      </w:pPr>
      <w:r>
        <w:rPr>
          <w:rFonts w:hint="eastAsia"/>
          <w:lang w:val="en-US" w:eastAsia="zh-CN"/>
        </w:rPr>
        <w:t>由于友好水源地二级保护区包含加工厂水源地整个一级保护区，故将该区域定为加工厂水源地一级保护区，友好水源地二级保护区不包括该区域。</w:t>
      </w:r>
    </w:p>
    <w:p>
      <w:pPr>
        <w:pStyle w:val="2"/>
        <w:bidi w:val="0"/>
        <w:rPr>
          <w:rFonts w:hint="eastAsia"/>
          <w:lang w:val="en-US" w:eastAsia="zh-CN"/>
        </w:rPr>
      </w:pPr>
      <w:r>
        <w:rPr>
          <w:rFonts w:hint="eastAsia"/>
          <w:lang w:val="en-US" w:eastAsia="zh-CN"/>
        </w:rPr>
        <w:t>友好水源地二级保护区面积为70.201平方公里。</w:t>
      </w:r>
    </w:p>
    <w:p>
      <w:pPr>
        <w:bidi w:val="0"/>
        <w:jc w:val="center"/>
        <w:rPr>
          <w:rFonts w:hint="eastAsia"/>
          <w:lang w:val="en-US" w:eastAsia="zh-CN"/>
        </w:rPr>
      </w:pPr>
      <w:r>
        <w:drawing>
          <wp:inline distT="0" distB="0" distL="114300" distR="114300">
            <wp:extent cx="6337935" cy="4097020"/>
            <wp:effectExtent l="0" t="0" r="1905" b="2540"/>
            <wp:docPr id="2" name="图片 51" descr="附图3友好水源地保护区总体划分图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1" descr="附图3友好水源地保护区总体划分图A3"/>
                    <pic:cNvPicPr>
                      <a:picLocks noChangeAspect="1"/>
                    </pic:cNvPicPr>
                  </pic:nvPicPr>
                  <pic:blipFill>
                    <a:blip r:embed="rId9"/>
                    <a:stretch>
                      <a:fillRect/>
                    </a:stretch>
                  </pic:blipFill>
                  <pic:spPr>
                    <a:xfrm>
                      <a:off x="0" y="0"/>
                      <a:ext cx="6337935" cy="4097020"/>
                    </a:xfrm>
                    <a:prstGeom prst="rect">
                      <a:avLst/>
                    </a:prstGeom>
                    <a:noFill/>
                    <a:ln>
                      <a:noFill/>
                    </a:ln>
                  </pic:spPr>
                </pic:pic>
              </a:graphicData>
            </a:graphic>
          </wp:inline>
        </w:drawing>
      </w:r>
    </w:p>
    <w:p>
      <w:pPr>
        <w:pStyle w:val="2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highlight w:val="none"/>
          <w:lang w:val="en-US" w:eastAsia="zh-CN"/>
        </w:rPr>
        <w:t>图2-2  黑龙江省伊春市友好区饮用水水源保护区划分图</w:t>
      </w:r>
    </w:p>
    <w:p>
      <w:pPr>
        <w:pStyle w:val="7"/>
      </w:pPr>
      <w:bookmarkStart w:id="117" w:name="_Toc23872"/>
      <w:bookmarkStart w:id="118" w:name="_Toc27575"/>
      <w:bookmarkStart w:id="119" w:name="_Toc4584_WPSOffice_Level2"/>
      <w:r>
        <w:rPr>
          <w:rFonts w:hint="eastAsia"/>
        </w:rPr>
        <w:t>2.3.</w:t>
      </w:r>
      <w:r>
        <w:rPr>
          <w:rFonts w:hint="eastAsia"/>
          <w:lang w:val="en-US" w:eastAsia="zh-CN"/>
        </w:rPr>
        <w:t>2</w:t>
      </w:r>
      <w:r>
        <w:rPr>
          <w:rFonts w:hint="eastAsia"/>
        </w:rPr>
        <w:t>自然保护区</w:t>
      </w:r>
    </w:p>
    <w:p>
      <w:pPr>
        <w:pStyle w:val="2"/>
        <w:bidi w:val="0"/>
        <w:rPr>
          <w:rFonts w:hint="default"/>
          <w:lang w:val="en-US" w:eastAsia="zh-CN"/>
        </w:rPr>
      </w:pPr>
      <w:r>
        <w:rPr>
          <w:rFonts w:hint="eastAsia"/>
          <w:lang w:val="en-US" w:eastAsia="zh-CN"/>
        </w:rPr>
        <w:t>（1）黑龙江友好国家级自然保护区</w:t>
      </w:r>
    </w:p>
    <w:p>
      <w:pPr>
        <w:pStyle w:val="2"/>
        <w:bidi w:val="0"/>
        <w:rPr>
          <w:rFonts w:hint="eastAsia"/>
          <w:lang w:val="en-US" w:eastAsia="zh-CN"/>
        </w:rPr>
      </w:pPr>
      <w:r>
        <w:rPr>
          <w:rFonts w:hint="eastAsia"/>
          <w:lang w:val="en-US" w:eastAsia="zh-CN"/>
        </w:rPr>
        <w:t>黑龙江友好自然保护区位于素有“祖国林都、红松故乡”的黑龙江省伊春市境内，属内陆湿地和水域生态系统类型。主要保护对象为东北林区森林沼泽生态系统和珍稀野生动植物资源及其栖息地。</w:t>
      </w:r>
    </w:p>
    <w:p>
      <w:pPr>
        <w:pStyle w:val="2"/>
        <w:bidi w:val="0"/>
        <w:rPr>
          <w:rFonts w:hint="eastAsia"/>
          <w:lang w:val="en-US" w:eastAsia="zh-CN"/>
        </w:rPr>
      </w:pPr>
      <w:r>
        <w:rPr>
          <w:rFonts w:hint="eastAsia"/>
          <w:lang w:val="en-US" w:eastAsia="zh-CN"/>
        </w:rPr>
        <w:t>黑龙江友好自然保护区地处小兴安岭山脉中段，横跨小兴安岭主脉的南北两坡，地理坐标为东经128°10′15″—128°33′25″，北纬48°13′07″—48°33′15″。黑龙江友好国家级自然保护区共有高等植物836种，其中包括1亚种，23变种，3变型。其中苔藓植物56科，100属，183种，占保护区总科数的35.22%，占总属数的24.15%，占总种数的21.89%；蕨类植物41种，隶属于14科，26属，分别占保护区总种数的4.90%；占总科数的8.81%；占总属数的6.28%；种子植物（裸子和被子植物）612种，占总种数的73.21%，隶属于89科，288属，分别占保护区科、属的55.97%，69.57%。</w:t>
      </w:r>
    </w:p>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eastAsia"/>
          <w:lang w:val="en-US" w:eastAsia="zh-CN"/>
        </w:rPr>
      </w:pPr>
      <w:r>
        <w:drawing>
          <wp:inline distT="0" distB="0" distL="114300" distR="114300">
            <wp:extent cx="3003550" cy="4329430"/>
            <wp:effectExtent l="0" t="0" r="13970" b="13970"/>
            <wp:docPr id="3"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7"/>
                    <pic:cNvPicPr>
                      <a:picLocks noChangeAspect="1"/>
                    </pic:cNvPicPr>
                  </pic:nvPicPr>
                  <pic:blipFill>
                    <a:blip r:embed="rId10"/>
                    <a:stretch>
                      <a:fillRect/>
                    </a:stretch>
                  </pic:blipFill>
                  <pic:spPr>
                    <a:xfrm>
                      <a:off x="0" y="0"/>
                      <a:ext cx="3003550" cy="4329430"/>
                    </a:xfrm>
                    <a:prstGeom prst="rect">
                      <a:avLst/>
                    </a:prstGeom>
                    <a:noFill/>
                    <a:ln>
                      <a:noFill/>
                    </a:ln>
                  </pic:spPr>
                </pic:pic>
              </a:graphicData>
            </a:graphic>
          </wp:inline>
        </w:drawing>
      </w:r>
    </w:p>
    <w:p>
      <w:pPr>
        <w:pStyle w:val="24"/>
        <w:bidi w:val="0"/>
        <w:rPr>
          <w:rFonts w:hint="default"/>
          <w:lang w:val="en-US" w:eastAsia="zh-CN"/>
        </w:rPr>
      </w:pPr>
      <w:r>
        <w:rPr>
          <w:rFonts w:hint="eastAsia"/>
          <w:lang w:val="en-US" w:eastAsia="zh-CN"/>
        </w:rPr>
        <w:t>图2-3  黑龙江友好国家级自然保护区功能区划图</w:t>
      </w:r>
    </w:p>
    <w:p>
      <w:pPr>
        <w:pStyle w:val="7"/>
        <w:rPr>
          <w:rFonts w:hint="eastAsia"/>
          <w:highlight w:val="none"/>
        </w:rPr>
      </w:pPr>
      <w:r>
        <w:rPr>
          <w:rFonts w:hint="eastAsia"/>
          <w:highlight w:val="none"/>
        </w:rPr>
        <w:t>2.3.</w:t>
      </w:r>
      <w:r>
        <w:rPr>
          <w:rFonts w:hint="eastAsia"/>
          <w:highlight w:val="none"/>
          <w:lang w:val="en-US" w:eastAsia="zh-CN"/>
        </w:rPr>
        <w:t>3</w:t>
      </w:r>
      <w:r>
        <w:rPr>
          <w:rFonts w:hint="eastAsia"/>
          <w:highlight w:val="none"/>
        </w:rPr>
        <w:t>水环境功能区划</w:t>
      </w:r>
    </w:p>
    <w:p>
      <w:pPr>
        <w:pStyle w:val="2"/>
        <w:ind w:firstLine="560"/>
        <w:rPr>
          <w:rFonts w:hint="eastAsia"/>
          <w:highlight w:val="none"/>
        </w:rPr>
      </w:pPr>
      <w:r>
        <w:rPr>
          <w:rFonts w:hint="eastAsia"/>
          <w:highlight w:val="none"/>
        </w:rPr>
        <w:t>根据黑龙江省水利厅 黑龙江省发展和改革委员会 黑龙江省环境保护厅关于转发《水利部  国家发展和改革委员会 环境保护部关于印发全国重要江河湖泊水功能区划（2011-2030年）的通知》的通知（黑水发[2012]359号）文件，</w:t>
      </w:r>
      <w:r>
        <w:rPr>
          <w:rFonts w:hint="eastAsia"/>
          <w:highlight w:val="none"/>
          <w:lang w:val="en-US" w:eastAsia="zh-CN"/>
        </w:rPr>
        <w:t>友好区</w:t>
      </w:r>
      <w:r>
        <w:rPr>
          <w:rFonts w:hint="eastAsia"/>
          <w:highlight w:val="none"/>
        </w:rPr>
        <w:t>所在的区域</w:t>
      </w:r>
      <w:r>
        <w:rPr>
          <w:rFonts w:hint="eastAsia"/>
          <w:highlight w:val="none"/>
          <w:lang w:val="en-US" w:eastAsia="zh-CN"/>
        </w:rPr>
        <w:t>设有一个二级水功能区，为汤旺河友好农业、工业用水区。所在一级水功能区为伊春河伊春市开发利用区，水系</w:t>
      </w:r>
      <w:r>
        <w:rPr>
          <w:rFonts w:hint="eastAsia"/>
          <w:highlight w:val="none"/>
        </w:rPr>
        <w:t>为</w:t>
      </w:r>
      <w:r>
        <w:rPr>
          <w:rFonts w:hint="eastAsia"/>
          <w:highlight w:val="none"/>
          <w:lang w:val="en-US" w:eastAsia="zh-CN"/>
        </w:rPr>
        <w:t>松花江</w:t>
      </w:r>
      <w:r>
        <w:rPr>
          <w:rFonts w:hint="eastAsia"/>
          <w:highlight w:val="none"/>
        </w:rPr>
        <w:t>干流，</w:t>
      </w:r>
      <w:r>
        <w:rPr>
          <w:rFonts w:hint="eastAsia"/>
          <w:highlight w:val="none"/>
          <w:lang w:val="en-US" w:eastAsia="zh-CN"/>
        </w:rPr>
        <w:t>河流为汤旺河，起始断面为上甘岭区，终止断面为伊春河汇入口，该二级水功能区水质目标为Ⅳ类水体</w:t>
      </w:r>
      <w:r>
        <w:rPr>
          <w:rFonts w:hint="eastAsia"/>
          <w:highlight w:val="none"/>
        </w:rPr>
        <w:t>。</w:t>
      </w:r>
    </w:p>
    <w:p>
      <w:pPr>
        <w:pStyle w:val="7"/>
        <w:rPr>
          <w:rFonts w:hint="eastAsia"/>
          <w:highlight w:val="none"/>
        </w:rPr>
      </w:pPr>
      <w:r>
        <w:rPr>
          <w:rFonts w:hint="eastAsia"/>
          <w:highlight w:val="none"/>
        </w:rPr>
        <w:t>2.3.</w:t>
      </w:r>
      <w:r>
        <w:rPr>
          <w:rFonts w:hint="eastAsia"/>
          <w:highlight w:val="none"/>
          <w:lang w:val="en-US" w:eastAsia="zh-CN"/>
        </w:rPr>
        <w:t>4</w:t>
      </w:r>
      <w:r>
        <w:rPr>
          <w:rFonts w:hint="eastAsia"/>
          <w:highlight w:val="none"/>
        </w:rPr>
        <w:t>水环境现状</w:t>
      </w:r>
      <w:bookmarkEnd w:id="117"/>
      <w:bookmarkEnd w:id="118"/>
      <w:bookmarkEnd w:id="119"/>
    </w:p>
    <w:p>
      <w:pPr>
        <w:pStyle w:val="2"/>
        <w:bidi w:val="0"/>
        <w:rPr>
          <w:rFonts w:hint="eastAsia"/>
          <w:highlight w:val="none"/>
          <w:lang w:val="en-US" w:eastAsia="zh-CN"/>
        </w:rPr>
      </w:pPr>
      <w:r>
        <w:rPr>
          <w:rFonts w:hint="eastAsia"/>
          <w:highlight w:val="none"/>
          <w:lang w:val="en-US" w:eastAsia="zh-CN"/>
        </w:rPr>
        <w:t>根据近三年对汤旺河断面进行检测的数据，该断面能够达到Ⅳ类水质要求。具体数见表2-2。</w:t>
      </w:r>
    </w:p>
    <w:p>
      <w:pPr>
        <w:pStyle w:val="3"/>
        <w:rPr>
          <w:rFonts w:hint="eastAsia"/>
          <w:lang w:val="en-US" w:eastAsia="zh-CN"/>
        </w:rPr>
      </w:pPr>
    </w:p>
    <w:p>
      <w:pPr>
        <w:pStyle w:val="24"/>
        <w:bidi w:val="0"/>
        <w:rPr>
          <w:rFonts w:hint="eastAsia"/>
          <w:lang w:val="en-US" w:eastAsia="zh-CN"/>
        </w:rPr>
      </w:pPr>
      <w:r>
        <w:rPr>
          <w:rFonts w:hint="eastAsia"/>
          <w:lang w:val="en-US" w:eastAsia="zh-CN"/>
        </w:rPr>
        <w:t>表2-2   近三年汤旺河断面检测数据        （mg/L）</w:t>
      </w:r>
    </w:p>
    <w:tbl>
      <w:tblPr>
        <w:tblStyle w:val="4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11"/>
        <w:gridCol w:w="1512"/>
        <w:gridCol w:w="1747"/>
        <w:gridCol w:w="1277"/>
        <w:gridCol w:w="1512"/>
        <w:gridCol w:w="1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4" w:hRule="atLeast"/>
          <w:jc w:val="center"/>
        </w:trPr>
        <w:tc>
          <w:tcPr>
            <w:tcW w:w="1511" w:type="dxa"/>
            <w:tcBorders>
              <w:tl2br w:val="nil"/>
              <w:tr2bl w:val="nil"/>
            </w:tcBorders>
            <w:noWrap/>
            <w:tcMar>
              <w:top w:w="12" w:type="dxa"/>
              <w:left w:w="12" w:type="dxa"/>
              <w:right w:w="12" w:type="dxa"/>
            </w:tcMar>
            <w:vAlign w:val="center"/>
          </w:tcPr>
          <w:p>
            <w:pPr>
              <w:pStyle w:val="25"/>
              <w:bidi w:val="0"/>
              <w:rPr>
                <w:rFonts w:hint="eastAsia"/>
              </w:rPr>
            </w:pPr>
          </w:p>
        </w:tc>
        <w:tc>
          <w:tcPr>
            <w:tcW w:w="1512" w:type="dxa"/>
            <w:tcBorders>
              <w:tl2br w:val="nil"/>
              <w:tr2bl w:val="nil"/>
            </w:tcBorders>
            <w:noWrap w:val="0"/>
            <w:tcMar>
              <w:top w:w="12" w:type="dxa"/>
              <w:left w:w="12" w:type="dxa"/>
              <w:right w:w="12" w:type="dxa"/>
            </w:tcMar>
            <w:vAlign w:val="center"/>
          </w:tcPr>
          <w:p>
            <w:pPr>
              <w:pStyle w:val="25"/>
              <w:bidi w:val="0"/>
              <w:rPr>
                <w:rFonts w:hint="eastAsia"/>
              </w:rPr>
            </w:pPr>
            <w:r>
              <w:rPr>
                <w:rFonts w:hint="eastAsia"/>
                <w:lang w:val="en-US" w:eastAsia="zh-CN"/>
              </w:rPr>
              <w:t>化学需氧量</w:t>
            </w:r>
          </w:p>
        </w:tc>
        <w:tc>
          <w:tcPr>
            <w:tcW w:w="1747" w:type="dxa"/>
            <w:tcBorders>
              <w:tl2br w:val="nil"/>
              <w:tr2bl w:val="nil"/>
            </w:tcBorders>
            <w:noWrap w:val="0"/>
            <w:tcMar>
              <w:top w:w="12" w:type="dxa"/>
              <w:left w:w="12" w:type="dxa"/>
              <w:right w:w="12" w:type="dxa"/>
            </w:tcMar>
            <w:vAlign w:val="center"/>
          </w:tcPr>
          <w:p>
            <w:pPr>
              <w:pStyle w:val="25"/>
              <w:bidi w:val="0"/>
              <w:rPr>
                <w:rFonts w:hint="eastAsia"/>
              </w:rPr>
            </w:pPr>
            <w:r>
              <w:rPr>
                <w:rFonts w:hint="eastAsia"/>
                <w:lang w:val="en-US" w:eastAsia="zh-CN"/>
              </w:rPr>
              <w:t>五日生化需氧量</w:t>
            </w:r>
          </w:p>
        </w:tc>
        <w:tc>
          <w:tcPr>
            <w:tcW w:w="1277" w:type="dxa"/>
            <w:tcBorders>
              <w:tl2br w:val="nil"/>
              <w:tr2bl w:val="nil"/>
            </w:tcBorders>
            <w:noWrap w:val="0"/>
            <w:tcMar>
              <w:top w:w="12" w:type="dxa"/>
              <w:left w:w="12" w:type="dxa"/>
              <w:right w:w="12" w:type="dxa"/>
            </w:tcMar>
            <w:vAlign w:val="center"/>
          </w:tcPr>
          <w:p>
            <w:pPr>
              <w:pStyle w:val="25"/>
              <w:bidi w:val="0"/>
              <w:rPr>
                <w:rFonts w:hint="eastAsia"/>
              </w:rPr>
            </w:pPr>
            <w:r>
              <w:rPr>
                <w:rFonts w:hint="eastAsia"/>
                <w:lang w:val="en-US" w:eastAsia="zh-CN"/>
              </w:rPr>
              <w:t>氨氮</w:t>
            </w:r>
          </w:p>
        </w:tc>
        <w:tc>
          <w:tcPr>
            <w:tcW w:w="1512" w:type="dxa"/>
            <w:tcBorders>
              <w:tl2br w:val="nil"/>
              <w:tr2bl w:val="nil"/>
            </w:tcBorders>
            <w:noWrap w:val="0"/>
            <w:tcMar>
              <w:top w:w="12" w:type="dxa"/>
              <w:left w:w="12" w:type="dxa"/>
              <w:right w:w="12" w:type="dxa"/>
            </w:tcMar>
            <w:vAlign w:val="center"/>
          </w:tcPr>
          <w:p>
            <w:pPr>
              <w:pStyle w:val="25"/>
              <w:bidi w:val="0"/>
              <w:rPr>
                <w:rFonts w:hint="eastAsia"/>
              </w:rPr>
            </w:pPr>
            <w:r>
              <w:rPr>
                <w:rFonts w:hint="eastAsia"/>
                <w:lang w:val="en-US" w:eastAsia="zh-CN"/>
              </w:rPr>
              <w:t>总磷</w:t>
            </w:r>
          </w:p>
        </w:tc>
        <w:tc>
          <w:tcPr>
            <w:tcW w:w="1512" w:type="dxa"/>
            <w:tcBorders>
              <w:tl2br w:val="nil"/>
              <w:tr2bl w:val="nil"/>
            </w:tcBorders>
            <w:noWrap w:val="0"/>
            <w:tcMar>
              <w:top w:w="12" w:type="dxa"/>
              <w:left w:w="12" w:type="dxa"/>
              <w:right w:w="12" w:type="dxa"/>
            </w:tcMar>
            <w:vAlign w:val="center"/>
          </w:tcPr>
          <w:p>
            <w:pPr>
              <w:pStyle w:val="25"/>
              <w:bidi w:val="0"/>
              <w:rPr>
                <w:rFonts w:hint="eastAsia"/>
              </w:rPr>
            </w:pPr>
            <w:r>
              <w:rPr>
                <w:rFonts w:hint="eastAsia"/>
                <w:lang w:val="en-US" w:eastAsia="zh-CN"/>
              </w:rPr>
              <w:t>总氮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jc w:val="center"/>
        </w:trPr>
        <w:tc>
          <w:tcPr>
            <w:tcW w:w="1511"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2017</w:t>
            </w:r>
          </w:p>
        </w:tc>
        <w:tc>
          <w:tcPr>
            <w:tcW w:w="1512"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28.00 </w:t>
            </w:r>
          </w:p>
        </w:tc>
        <w:tc>
          <w:tcPr>
            <w:tcW w:w="1747"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6.50 </w:t>
            </w:r>
          </w:p>
        </w:tc>
        <w:tc>
          <w:tcPr>
            <w:tcW w:w="1277"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0.42 </w:t>
            </w:r>
          </w:p>
        </w:tc>
        <w:tc>
          <w:tcPr>
            <w:tcW w:w="1512"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0.01 </w:t>
            </w:r>
          </w:p>
        </w:tc>
        <w:tc>
          <w:tcPr>
            <w:tcW w:w="1512"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0.97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jc w:val="center"/>
        </w:trPr>
        <w:tc>
          <w:tcPr>
            <w:tcW w:w="1511" w:type="dxa"/>
            <w:tcBorders>
              <w:tl2br w:val="nil"/>
              <w:tr2bl w:val="nil"/>
            </w:tcBorders>
            <w:noWrap/>
            <w:tcMar>
              <w:top w:w="12" w:type="dxa"/>
              <w:left w:w="12" w:type="dxa"/>
              <w:right w:w="12" w:type="dxa"/>
            </w:tcMar>
            <w:vAlign w:val="center"/>
          </w:tcPr>
          <w:p>
            <w:pPr>
              <w:pStyle w:val="25"/>
              <w:bidi w:val="0"/>
              <w:rPr>
                <w:rFonts w:hint="eastAsia"/>
                <w:lang w:val="en-US" w:eastAsia="zh-CN"/>
              </w:rPr>
            </w:pPr>
            <w:r>
              <w:rPr>
                <w:rFonts w:hint="eastAsia"/>
                <w:lang w:val="en-US" w:eastAsia="zh-CN"/>
              </w:rPr>
              <w:t>2018</w:t>
            </w:r>
          </w:p>
        </w:tc>
        <w:tc>
          <w:tcPr>
            <w:tcW w:w="1512" w:type="dxa"/>
            <w:tcBorders>
              <w:tl2br w:val="nil"/>
              <w:tr2bl w:val="nil"/>
            </w:tcBorders>
            <w:noWrap/>
            <w:tcMar>
              <w:top w:w="12" w:type="dxa"/>
              <w:left w:w="12" w:type="dxa"/>
              <w:right w:w="12" w:type="dxa"/>
            </w:tcMar>
            <w:vAlign w:val="center"/>
          </w:tcPr>
          <w:p>
            <w:pPr>
              <w:pStyle w:val="25"/>
              <w:bidi w:val="0"/>
              <w:rPr>
                <w:rFonts w:hint="eastAsia"/>
                <w:lang w:val="en-US" w:eastAsia="zh-CN"/>
              </w:rPr>
            </w:pPr>
            <w:r>
              <w:rPr>
                <w:rFonts w:hint="eastAsia"/>
                <w:lang w:val="en-US" w:eastAsia="zh-CN"/>
              </w:rPr>
              <w:t xml:space="preserve">26.33 </w:t>
            </w:r>
          </w:p>
        </w:tc>
        <w:tc>
          <w:tcPr>
            <w:tcW w:w="1747" w:type="dxa"/>
            <w:tcBorders>
              <w:tl2br w:val="nil"/>
              <w:tr2bl w:val="nil"/>
            </w:tcBorders>
            <w:noWrap/>
            <w:tcMar>
              <w:top w:w="12" w:type="dxa"/>
              <w:left w:w="12" w:type="dxa"/>
              <w:right w:w="12" w:type="dxa"/>
            </w:tcMar>
            <w:vAlign w:val="center"/>
          </w:tcPr>
          <w:p>
            <w:pPr>
              <w:pStyle w:val="25"/>
              <w:bidi w:val="0"/>
              <w:rPr>
                <w:rFonts w:hint="eastAsia"/>
                <w:lang w:val="en-US" w:eastAsia="zh-CN"/>
              </w:rPr>
            </w:pPr>
            <w:r>
              <w:rPr>
                <w:rFonts w:hint="eastAsia"/>
                <w:lang w:val="en-US" w:eastAsia="zh-CN"/>
              </w:rPr>
              <w:t xml:space="preserve">4.63 </w:t>
            </w:r>
          </w:p>
        </w:tc>
        <w:tc>
          <w:tcPr>
            <w:tcW w:w="1277" w:type="dxa"/>
            <w:tcBorders>
              <w:tl2br w:val="nil"/>
              <w:tr2bl w:val="nil"/>
            </w:tcBorders>
            <w:noWrap/>
            <w:tcMar>
              <w:top w:w="12" w:type="dxa"/>
              <w:left w:w="12" w:type="dxa"/>
              <w:right w:w="12" w:type="dxa"/>
            </w:tcMar>
            <w:vAlign w:val="center"/>
          </w:tcPr>
          <w:p>
            <w:pPr>
              <w:pStyle w:val="25"/>
              <w:bidi w:val="0"/>
              <w:rPr>
                <w:rFonts w:hint="eastAsia"/>
                <w:lang w:val="en-US" w:eastAsia="zh-CN"/>
              </w:rPr>
            </w:pPr>
            <w:r>
              <w:rPr>
                <w:rFonts w:hint="eastAsia"/>
                <w:lang w:val="en-US" w:eastAsia="zh-CN"/>
              </w:rPr>
              <w:t xml:space="preserve">0.85 </w:t>
            </w:r>
          </w:p>
        </w:tc>
        <w:tc>
          <w:tcPr>
            <w:tcW w:w="1512" w:type="dxa"/>
            <w:tcBorders>
              <w:tl2br w:val="nil"/>
              <w:tr2bl w:val="nil"/>
            </w:tcBorders>
            <w:noWrap/>
            <w:tcMar>
              <w:top w:w="12" w:type="dxa"/>
              <w:left w:w="12" w:type="dxa"/>
              <w:right w:w="12" w:type="dxa"/>
            </w:tcMar>
            <w:vAlign w:val="center"/>
          </w:tcPr>
          <w:p>
            <w:pPr>
              <w:pStyle w:val="25"/>
              <w:bidi w:val="0"/>
              <w:rPr>
                <w:rFonts w:hint="eastAsia"/>
                <w:lang w:val="en-US" w:eastAsia="zh-CN"/>
              </w:rPr>
            </w:pPr>
            <w:r>
              <w:rPr>
                <w:rFonts w:hint="eastAsia"/>
                <w:lang w:val="en-US" w:eastAsia="zh-CN"/>
              </w:rPr>
              <w:t xml:space="preserve">0.08 </w:t>
            </w:r>
          </w:p>
        </w:tc>
        <w:tc>
          <w:tcPr>
            <w:tcW w:w="1512" w:type="dxa"/>
            <w:tcBorders>
              <w:tl2br w:val="nil"/>
              <w:tr2bl w:val="nil"/>
            </w:tcBorders>
            <w:noWrap/>
            <w:tcMar>
              <w:top w:w="12" w:type="dxa"/>
              <w:left w:w="12" w:type="dxa"/>
              <w:right w:w="12" w:type="dxa"/>
            </w:tcMar>
            <w:vAlign w:val="center"/>
          </w:tcPr>
          <w:p>
            <w:pPr>
              <w:pStyle w:val="25"/>
              <w:bidi w:val="0"/>
              <w:rPr>
                <w:rFonts w:hint="eastAsia"/>
                <w:lang w:val="en-US" w:eastAsia="zh-CN"/>
              </w:rPr>
            </w:pPr>
            <w:r>
              <w:rPr>
                <w:rFonts w:hint="eastAsia"/>
                <w:lang w:val="en-US" w:eastAsia="zh-CN"/>
              </w:rPr>
              <w:t xml:space="preserve">1.06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jc w:val="center"/>
        </w:trPr>
        <w:tc>
          <w:tcPr>
            <w:tcW w:w="1511" w:type="dxa"/>
            <w:tcBorders>
              <w:tl2br w:val="nil"/>
              <w:tr2bl w:val="nil"/>
            </w:tcBorders>
            <w:noWrap/>
            <w:tcMar>
              <w:top w:w="12" w:type="dxa"/>
              <w:left w:w="12" w:type="dxa"/>
              <w:right w:w="12" w:type="dxa"/>
            </w:tcMar>
            <w:vAlign w:val="center"/>
          </w:tcPr>
          <w:p>
            <w:pPr>
              <w:pStyle w:val="25"/>
              <w:bidi w:val="0"/>
              <w:rPr>
                <w:rFonts w:hint="eastAsia"/>
                <w:lang w:val="en-US" w:eastAsia="zh-CN"/>
              </w:rPr>
            </w:pPr>
            <w:r>
              <w:rPr>
                <w:rFonts w:hint="eastAsia"/>
                <w:lang w:val="en-US" w:eastAsia="zh-CN"/>
              </w:rPr>
              <w:t>2019</w:t>
            </w:r>
          </w:p>
        </w:tc>
        <w:tc>
          <w:tcPr>
            <w:tcW w:w="1512" w:type="dxa"/>
            <w:tcBorders>
              <w:tl2br w:val="nil"/>
              <w:tr2bl w:val="nil"/>
            </w:tcBorders>
            <w:noWrap/>
            <w:tcMar>
              <w:top w:w="12" w:type="dxa"/>
              <w:left w:w="12" w:type="dxa"/>
              <w:right w:w="12" w:type="dxa"/>
            </w:tcMar>
            <w:vAlign w:val="center"/>
          </w:tcPr>
          <w:p>
            <w:pPr>
              <w:pStyle w:val="25"/>
              <w:bidi w:val="0"/>
              <w:rPr>
                <w:rFonts w:hint="eastAsia"/>
                <w:lang w:val="en-US" w:eastAsia="zh-CN"/>
              </w:rPr>
            </w:pPr>
            <w:r>
              <w:rPr>
                <w:rFonts w:hint="eastAsia"/>
                <w:lang w:val="en-US" w:eastAsia="zh-CN"/>
              </w:rPr>
              <w:t xml:space="preserve">16.67 </w:t>
            </w:r>
          </w:p>
        </w:tc>
        <w:tc>
          <w:tcPr>
            <w:tcW w:w="1747" w:type="dxa"/>
            <w:tcBorders>
              <w:tl2br w:val="nil"/>
              <w:tr2bl w:val="nil"/>
            </w:tcBorders>
            <w:noWrap/>
            <w:tcMar>
              <w:top w:w="12" w:type="dxa"/>
              <w:left w:w="12" w:type="dxa"/>
              <w:right w:w="12" w:type="dxa"/>
            </w:tcMar>
            <w:vAlign w:val="center"/>
          </w:tcPr>
          <w:p>
            <w:pPr>
              <w:pStyle w:val="25"/>
              <w:bidi w:val="0"/>
              <w:rPr>
                <w:rFonts w:hint="eastAsia"/>
                <w:lang w:val="en-US" w:eastAsia="zh-CN"/>
              </w:rPr>
            </w:pPr>
            <w:r>
              <w:rPr>
                <w:rFonts w:hint="eastAsia"/>
                <w:lang w:val="en-US" w:eastAsia="zh-CN"/>
              </w:rPr>
              <w:t xml:space="preserve">3.53 </w:t>
            </w:r>
          </w:p>
        </w:tc>
        <w:tc>
          <w:tcPr>
            <w:tcW w:w="1277" w:type="dxa"/>
            <w:tcBorders>
              <w:tl2br w:val="nil"/>
              <w:tr2bl w:val="nil"/>
            </w:tcBorders>
            <w:noWrap/>
            <w:tcMar>
              <w:top w:w="12" w:type="dxa"/>
              <w:left w:w="12" w:type="dxa"/>
              <w:right w:w="12" w:type="dxa"/>
            </w:tcMar>
            <w:vAlign w:val="center"/>
          </w:tcPr>
          <w:p>
            <w:pPr>
              <w:pStyle w:val="25"/>
              <w:bidi w:val="0"/>
              <w:rPr>
                <w:rFonts w:hint="eastAsia"/>
                <w:lang w:val="en-US" w:eastAsia="zh-CN"/>
              </w:rPr>
            </w:pPr>
            <w:r>
              <w:rPr>
                <w:rFonts w:hint="eastAsia"/>
                <w:lang w:val="en-US" w:eastAsia="zh-CN"/>
              </w:rPr>
              <w:t xml:space="preserve">0.62 </w:t>
            </w:r>
          </w:p>
        </w:tc>
        <w:tc>
          <w:tcPr>
            <w:tcW w:w="1512" w:type="dxa"/>
            <w:tcBorders>
              <w:tl2br w:val="nil"/>
              <w:tr2bl w:val="nil"/>
            </w:tcBorders>
            <w:noWrap/>
            <w:tcMar>
              <w:top w:w="12" w:type="dxa"/>
              <w:left w:w="12" w:type="dxa"/>
              <w:right w:w="12" w:type="dxa"/>
            </w:tcMar>
            <w:vAlign w:val="center"/>
          </w:tcPr>
          <w:p>
            <w:pPr>
              <w:pStyle w:val="25"/>
              <w:bidi w:val="0"/>
              <w:rPr>
                <w:rFonts w:hint="eastAsia"/>
                <w:lang w:val="en-US" w:eastAsia="zh-CN"/>
              </w:rPr>
            </w:pPr>
            <w:r>
              <w:rPr>
                <w:rFonts w:hint="eastAsia"/>
                <w:lang w:val="en-US" w:eastAsia="zh-CN"/>
              </w:rPr>
              <w:t xml:space="preserve">0.03 </w:t>
            </w:r>
          </w:p>
        </w:tc>
        <w:tc>
          <w:tcPr>
            <w:tcW w:w="1512" w:type="dxa"/>
            <w:tcBorders>
              <w:tl2br w:val="nil"/>
              <w:tr2bl w:val="nil"/>
            </w:tcBorders>
            <w:noWrap/>
            <w:tcMar>
              <w:top w:w="12" w:type="dxa"/>
              <w:left w:w="12" w:type="dxa"/>
              <w:right w:w="12" w:type="dxa"/>
            </w:tcMar>
            <w:vAlign w:val="center"/>
          </w:tcPr>
          <w:p>
            <w:pPr>
              <w:pStyle w:val="25"/>
              <w:bidi w:val="0"/>
              <w:rPr>
                <w:rFonts w:hint="eastAsia"/>
                <w:lang w:val="en-US" w:eastAsia="zh-CN"/>
              </w:rPr>
            </w:pPr>
            <w:r>
              <w:rPr>
                <w:rFonts w:hint="eastAsia"/>
                <w:lang w:val="en-US" w:eastAsia="zh-CN"/>
              </w:rPr>
              <w:t xml:space="preserve">1.63 </w:t>
            </w:r>
          </w:p>
        </w:tc>
      </w:tr>
    </w:tbl>
    <w:p>
      <w:pPr>
        <w:jc w:val="center"/>
      </w:pPr>
    </w:p>
    <w:p>
      <w:pPr>
        <w:jc w:val="center"/>
      </w:pPr>
    </w:p>
    <w:p>
      <w:pPr>
        <w:jc w:val="center"/>
        <w:rPr>
          <w:rFonts w:hint="default"/>
          <w:lang w:val="en-US" w:eastAsia="zh-CN"/>
        </w:rPr>
      </w:pPr>
      <w:r>
        <w:drawing>
          <wp:inline distT="0" distB="0" distL="114300" distR="114300">
            <wp:extent cx="4572000" cy="2743200"/>
            <wp:effectExtent l="4445" t="4445" r="10795" b="10795"/>
            <wp:docPr id="4" name="图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pStyle w:val="24"/>
        <w:bidi w:val="0"/>
        <w:rPr>
          <w:rFonts w:hint="default"/>
          <w:lang w:val="en-US" w:eastAsia="zh-CN"/>
        </w:rPr>
      </w:pPr>
      <w:r>
        <w:rPr>
          <w:rFonts w:hint="eastAsia"/>
          <w:lang w:val="en-US" w:eastAsia="zh-CN"/>
        </w:rPr>
        <w:t>图2-4  近三年汤旺河断面检测数据统计图</w:t>
      </w:r>
    </w:p>
    <w:p>
      <w:pPr>
        <w:pStyle w:val="7"/>
        <w:bidi w:val="0"/>
        <w:outlineLvl w:val="1"/>
        <w:rPr>
          <w:rFonts w:hint="default"/>
          <w:lang w:val="en-US" w:eastAsia="zh-CN"/>
        </w:rPr>
      </w:pPr>
      <w:bookmarkStart w:id="120" w:name="_Toc21456"/>
      <w:bookmarkStart w:id="121" w:name="_Toc12007"/>
      <w:bookmarkStart w:id="122" w:name="_Toc24313"/>
      <w:r>
        <w:rPr>
          <w:rFonts w:hint="eastAsia"/>
          <w:lang w:val="en-US" w:eastAsia="zh-CN"/>
        </w:rPr>
        <w:t>2.4重点村庄统计</w:t>
      </w:r>
      <w:bookmarkEnd w:id="120"/>
      <w:bookmarkEnd w:id="121"/>
      <w:bookmarkEnd w:id="122"/>
    </w:p>
    <w:p>
      <w:pPr>
        <w:pStyle w:val="2"/>
        <w:bidi w:val="0"/>
        <w:rPr>
          <w:rFonts w:hint="eastAsia"/>
          <w:lang w:val="en-US" w:eastAsia="zh-CN"/>
        </w:rPr>
      </w:pPr>
      <w:r>
        <w:rPr>
          <w:rFonts w:hint="eastAsia"/>
          <w:lang w:val="en-US" w:eastAsia="zh-CN"/>
        </w:rPr>
        <w:t>根据友好区水源地以及自然保护区等环境敏感区地理位置，结合友好区村庄分布，友好区重点村庄见下表。</w:t>
      </w:r>
    </w:p>
    <w:p>
      <w:pPr>
        <w:pStyle w:val="3"/>
        <w:rPr>
          <w:rFonts w:hint="eastAsia"/>
          <w:lang w:val="en-US" w:eastAsia="zh-CN"/>
        </w:rPr>
      </w:pPr>
    </w:p>
    <w:p>
      <w:pPr>
        <w:rPr>
          <w:rFonts w:hint="eastAsia"/>
          <w:lang w:val="en-US" w:eastAsia="zh-CN"/>
        </w:rPr>
      </w:pPr>
    </w:p>
    <w:p>
      <w:pPr>
        <w:pStyle w:val="2"/>
        <w:rPr>
          <w:rFonts w:hint="eastAsia"/>
          <w:lang w:val="en-US" w:eastAsia="zh-CN"/>
        </w:rPr>
      </w:pPr>
    </w:p>
    <w:p>
      <w:pPr>
        <w:pStyle w:val="3"/>
        <w:rPr>
          <w:rFonts w:hint="eastAsia"/>
          <w:lang w:val="en-US" w:eastAsia="zh-CN"/>
        </w:rPr>
      </w:pPr>
    </w:p>
    <w:p>
      <w:pPr>
        <w:rPr>
          <w:rFonts w:hint="eastAsia"/>
          <w:lang w:val="en-US" w:eastAsia="zh-CN"/>
        </w:rPr>
      </w:pPr>
    </w:p>
    <w:p>
      <w:pPr>
        <w:pStyle w:val="2"/>
        <w:rPr>
          <w:rFonts w:hint="eastAsia"/>
          <w:lang w:val="en-US" w:eastAsia="zh-CN"/>
        </w:rPr>
      </w:pPr>
    </w:p>
    <w:p>
      <w:pPr>
        <w:pStyle w:val="3"/>
        <w:rPr>
          <w:rFonts w:hint="eastAsia"/>
          <w:lang w:val="en-US" w:eastAsia="zh-CN"/>
        </w:rPr>
      </w:pPr>
    </w:p>
    <w:p>
      <w:pPr>
        <w:rPr>
          <w:rFonts w:hint="eastAsia"/>
          <w:lang w:val="en-US" w:eastAsia="zh-CN"/>
        </w:rPr>
      </w:pPr>
    </w:p>
    <w:p>
      <w:pPr>
        <w:pStyle w:val="24"/>
        <w:bidi w:val="0"/>
        <w:rPr>
          <w:rFonts w:hint="default"/>
          <w:highlight w:val="none"/>
          <w:lang w:val="en-US" w:eastAsia="zh-CN"/>
        </w:rPr>
      </w:pPr>
      <w:r>
        <w:rPr>
          <w:rFonts w:hint="eastAsia"/>
          <w:highlight w:val="none"/>
          <w:lang w:val="en-US" w:eastAsia="zh-CN"/>
        </w:rPr>
        <w:t>表2-3  友好区重点村庄统计表</w:t>
      </w:r>
    </w:p>
    <w:tbl>
      <w:tblPr>
        <w:tblStyle w:val="42"/>
        <w:tblW w:w="104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8"/>
        <w:gridCol w:w="1499"/>
        <w:gridCol w:w="1499"/>
        <w:gridCol w:w="1499"/>
        <w:gridCol w:w="1499"/>
        <w:gridCol w:w="1499"/>
        <w:gridCol w:w="1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8" w:type="dxa"/>
            <w:vMerge w:val="restart"/>
            <w:noWrap w:val="0"/>
            <w:vAlign w:val="center"/>
          </w:tcPr>
          <w:p>
            <w:pPr>
              <w:pStyle w:val="25"/>
              <w:bidi w:val="0"/>
              <w:rPr>
                <w:rFonts w:hint="default"/>
                <w:lang w:val="en-US" w:eastAsia="zh-CN"/>
              </w:rPr>
            </w:pPr>
            <w:r>
              <w:rPr>
                <w:rFonts w:hint="eastAsia"/>
                <w:lang w:val="en-US" w:eastAsia="zh-CN"/>
              </w:rPr>
              <w:t>序号</w:t>
            </w:r>
          </w:p>
        </w:tc>
        <w:tc>
          <w:tcPr>
            <w:tcW w:w="1499" w:type="dxa"/>
            <w:vMerge w:val="restart"/>
            <w:noWrap w:val="0"/>
            <w:vAlign w:val="center"/>
          </w:tcPr>
          <w:p>
            <w:pPr>
              <w:pStyle w:val="25"/>
              <w:bidi w:val="0"/>
              <w:rPr>
                <w:rFonts w:hint="default"/>
                <w:lang w:val="en-US" w:eastAsia="zh-CN"/>
              </w:rPr>
            </w:pPr>
            <w:r>
              <w:rPr>
                <w:rFonts w:hint="eastAsia"/>
                <w:lang w:val="en-US" w:eastAsia="zh-CN"/>
              </w:rPr>
              <w:t>行政村</w:t>
            </w:r>
          </w:p>
        </w:tc>
        <w:tc>
          <w:tcPr>
            <w:tcW w:w="1499" w:type="dxa"/>
            <w:vMerge w:val="restart"/>
            <w:noWrap w:val="0"/>
            <w:vAlign w:val="center"/>
          </w:tcPr>
          <w:p>
            <w:pPr>
              <w:pStyle w:val="25"/>
              <w:bidi w:val="0"/>
              <w:rPr>
                <w:rFonts w:hint="default"/>
                <w:lang w:val="en-US" w:eastAsia="zh-CN"/>
              </w:rPr>
            </w:pPr>
            <w:r>
              <w:rPr>
                <w:rFonts w:hint="eastAsia"/>
                <w:lang w:val="en-US" w:eastAsia="zh-CN"/>
              </w:rPr>
              <w:t>自然屯</w:t>
            </w:r>
          </w:p>
        </w:tc>
        <w:tc>
          <w:tcPr>
            <w:tcW w:w="1499" w:type="dxa"/>
            <w:vMerge w:val="restart"/>
            <w:noWrap w:val="0"/>
            <w:vAlign w:val="center"/>
          </w:tcPr>
          <w:p>
            <w:pPr>
              <w:pStyle w:val="25"/>
              <w:bidi w:val="0"/>
              <w:rPr>
                <w:rFonts w:hint="default"/>
                <w:lang w:val="en-US" w:eastAsia="zh-CN"/>
              </w:rPr>
            </w:pPr>
            <w:r>
              <w:rPr>
                <w:rFonts w:hint="eastAsia"/>
                <w:lang w:val="en-US" w:eastAsia="zh-CN"/>
              </w:rPr>
              <w:t>水源地1km范围内</w:t>
            </w:r>
          </w:p>
        </w:tc>
        <w:tc>
          <w:tcPr>
            <w:tcW w:w="1499" w:type="dxa"/>
            <w:vMerge w:val="restart"/>
            <w:noWrap w:val="0"/>
            <w:vAlign w:val="center"/>
          </w:tcPr>
          <w:p>
            <w:pPr>
              <w:pStyle w:val="25"/>
              <w:bidi w:val="0"/>
              <w:rPr>
                <w:rFonts w:hint="default"/>
                <w:lang w:val="en-US" w:eastAsia="zh-CN"/>
              </w:rPr>
            </w:pPr>
            <w:r>
              <w:rPr>
                <w:rFonts w:hint="eastAsia"/>
                <w:lang w:val="en-US" w:eastAsia="zh-CN"/>
              </w:rPr>
              <w:t>自然保护区内村庄</w:t>
            </w:r>
          </w:p>
        </w:tc>
        <w:tc>
          <w:tcPr>
            <w:tcW w:w="1499" w:type="dxa"/>
            <w:vMerge w:val="restart"/>
            <w:noWrap w:val="0"/>
            <w:vAlign w:val="center"/>
          </w:tcPr>
          <w:p>
            <w:pPr>
              <w:pStyle w:val="25"/>
              <w:bidi w:val="0"/>
              <w:rPr>
                <w:rFonts w:hint="default"/>
                <w:lang w:val="en-US" w:eastAsia="zh-CN"/>
              </w:rPr>
            </w:pPr>
            <w:r>
              <w:rPr>
                <w:rFonts w:hint="eastAsia"/>
                <w:lang w:val="en-US" w:eastAsia="zh-CN"/>
              </w:rPr>
              <w:t>城乡结合部3km范围内村庄</w:t>
            </w:r>
          </w:p>
        </w:tc>
        <w:tc>
          <w:tcPr>
            <w:tcW w:w="1499" w:type="dxa"/>
            <w:noWrap w:val="0"/>
            <w:vAlign w:val="center"/>
          </w:tcPr>
          <w:p>
            <w:pPr>
              <w:pStyle w:val="25"/>
              <w:bidi w:val="0"/>
              <w:rPr>
                <w:rFonts w:hint="default"/>
                <w:lang w:val="en-US" w:eastAsia="zh-CN"/>
              </w:rPr>
            </w:pPr>
            <w:r>
              <w:rPr>
                <w:rFonts w:hint="eastAsia"/>
                <w:lang w:val="en-US" w:eastAsia="zh-CN"/>
              </w:rPr>
              <w:t>乡镇中心村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8" w:type="dxa"/>
            <w:vMerge w:val="continue"/>
            <w:noWrap w:val="0"/>
            <w:vAlign w:val="center"/>
          </w:tcPr>
          <w:p>
            <w:pPr>
              <w:pStyle w:val="25"/>
              <w:bidi w:val="0"/>
              <w:rPr>
                <w:rFonts w:hint="eastAsia"/>
                <w:lang w:val="en-US" w:eastAsia="zh-CN"/>
              </w:rPr>
            </w:pPr>
          </w:p>
        </w:tc>
        <w:tc>
          <w:tcPr>
            <w:tcW w:w="1499" w:type="dxa"/>
            <w:vMerge w:val="continue"/>
            <w:noWrap w:val="0"/>
            <w:vAlign w:val="center"/>
          </w:tcPr>
          <w:p>
            <w:pPr>
              <w:pStyle w:val="25"/>
              <w:bidi w:val="0"/>
              <w:rPr>
                <w:rFonts w:hint="eastAsia"/>
                <w:lang w:val="en-US" w:eastAsia="zh-CN"/>
              </w:rPr>
            </w:pPr>
          </w:p>
        </w:tc>
        <w:tc>
          <w:tcPr>
            <w:tcW w:w="1499" w:type="dxa"/>
            <w:vMerge w:val="continue"/>
            <w:noWrap w:val="0"/>
            <w:vAlign w:val="center"/>
          </w:tcPr>
          <w:p>
            <w:pPr>
              <w:pStyle w:val="25"/>
              <w:bidi w:val="0"/>
              <w:rPr>
                <w:rFonts w:hint="eastAsia"/>
                <w:lang w:val="en-US" w:eastAsia="zh-CN"/>
              </w:rPr>
            </w:pPr>
          </w:p>
        </w:tc>
        <w:tc>
          <w:tcPr>
            <w:tcW w:w="1499" w:type="dxa"/>
            <w:vMerge w:val="continue"/>
            <w:noWrap w:val="0"/>
            <w:vAlign w:val="center"/>
          </w:tcPr>
          <w:p>
            <w:pPr>
              <w:pStyle w:val="25"/>
              <w:bidi w:val="0"/>
              <w:rPr>
                <w:rFonts w:hint="eastAsia"/>
                <w:lang w:val="en-US" w:eastAsia="zh-CN"/>
              </w:rPr>
            </w:pPr>
          </w:p>
        </w:tc>
        <w:tc>
          <w:tcPr>
            <w:tcW w:w="1499" w:type="dxa"/>
            <w:vMerge w:val="continue"/>
            <w:noWrap w:val="0"/>
            <w:vAlign w:val="center"/>
          </w:tcPr>
          <w:p>
            <w:pPr>
              <w:pStyle w:val="25"/>
              <w:bidi w:val="0"/>
              <w:rPr>
                <w:rFonts w:hint="eastAsia"/>
                <w:lang w:val="en-US" w:eastAsia="zh-CN"/>
              </w:rPr>
            </w:pPr>
          </w:p>
        </w:tc>
        <w:tc>
          <w:tcPr>
            <w:tcW w:w="1499" w:type="dxa"/>
            <w:vMerge w:val="continue"/>
            <w:noWrap w:val="0"/>
            <w:vAlign w:val="center"/>
          </w:tcPr>
          <w:p>
            <w:pPr>
              <w:pStyle w:val="25"/>
              <w:bidi w:val="0"/>
              <w:rPr>
                <w:rFonts w:hint="eastAsia"/>
                <w:lang w:val="en-US" w:eastAsia="zh-CN"/>
              </w:rPr>
            </w:pPr>
          </w:p>
        </w:tc>
        <w:tc>
          <w:tcPr>
            <w:tcW w:w="1499" w:type="dxa"/>
            <w:noWrap w:val="0"/>
            <w:vAlign w:val="center"/>
          </w:tcPr>
          <w:p>
            <w:pPr>
              <w:pStyle w:val="25"/>
              <w:bidi w:val="0"/>
              <w:rPr>
                <w:rFonts w:hint="eastAsia"/>
                <w:lang w:val="en-US" w:eastAsia="zh-CN"/>
              </w:rPr>
            </w:pPr>
            <w:r>
              <w:rPr>
                <w:rFonts w:hint="eastAsia"/>
                <w:lang w:val="en-US" w:eastAsia="zh-CN"/>
              </w:rPr>
              <w:t>人口集中区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8" w:type="dxa"/>
            <w:noWrap w:val="0"/>
            <w:vAlign w:val="center"/>
          </w:tcPr>
          <w:p>
            <w:pPr>
              <w:pStyle w:val="25"/>
              <w:bidi w:val="0"/>
              <w:rPr>
                <w:rFonts w:hint="default"/>
                <w:lang w:val="en-US" w:eastAsia="zh-CN"/>
              </w:rPr>
            </w:pPr>
            <w:r>
              <w:rPr>
                <w:rFonts w:hint="eastAsia"/>
                <w:lang w:val="en-US" w:eastAsia="zh-CN"/>
              </w:rPr>
              <w:t>1</w:t>
            </w:r>
          </w:p>
        </w:tc>
        <w:tc>
          <w:tcPr>
            <w:tcW w:w="1499" w:type="dxa"/>
            <w:noWrap w:val="0"/>
            <w:vAlign w:val="center"/>
          </w:tcPr>
          <w:p>
            <w:pPr>
              <w:pStyle w:val="25"/>
              <w:bidi w:val="0"/>
              <w:rPr>
                <w:rFonts w:hint="default"/>
                <w:lang w:val="en-US" w:eastAsia="zh-CN"/>
              </w:rPr>
            </w:pPr>
            <w:r>
              <w:rPr>
                <w:rFonts w:hint="eastAsia"/>
                <w:lang w:val="en-US" w:eastAsia="zh-CN"/>
              </w:rPr>
              <w:t>青山村</w:t>
            </w:r>
          </w:p>
        </w:tc>
        <w:tc>
          <w:tcPr>
            <w:tcW w:w="1499" w:type="dxa"/>
            <w:noWrap w:val="0"/>
            <w:vAlign w:val="center"/>
          </w:tcPr>
          <w:p>
            <w:pPr>
              <w:pStyle w:val="25"/>
              <w:bidi w:val="0"/>
              <w:rPr>
                <w:rFonts w:hint="eastAsia"/>
                <w:lang w:val="en-US" w:eastAsia="zh-CN"/>
              </w:rPr>
            </w:pPr>
            <w:r>
              <w:rPr>
                <w:rFonts w:hint="eastAsia"/>
                <w:lang w:val="en-US" w:eastAsia="zh-CN"/>
              </w:rPr>
              <w:t>2队</w:t>
            </w:r>
          </w:p>
        </w:tc>
        <w:tc>
          <w:tcPr>
            <w:tcW w:w="1499" w:type="dxa"/>
            <w:noWrap w:val="0"/>
            <w:vAlign w:val="center"/>
          </w:tcPr>
          <w:p>
            <w:pPr>
              <w:pStyle w:val="25"/>
              <w:bidi w:val="0"/>
              <w:rPr>
                <w:rFonts w:hint="default"/>
                <w:lang w:val="en-US" w:eastAsia="zh-CN"/>
              </w:rPr>
            </w:pPr>
          </w:p>
        </w:tc>
        <w:tc>
          <w:tcPr>
            <w:tcW w:w="1499" w:type="dxa"/>
            <w:noWrap w:val="0"/>
            <w:vAlign w:val="center"/>
          </w:tcPr>
          <w:p>
            <w:pPr>
              <w:pStyle w:val="25"/>
              <w:bidi w:val="0"/>
              <w:rPr>
                <w:rFonts w:hint="default"/>
                <w:lang w:val="en-US" w:eastAsia="zh-CN"/>
              </w:rPr>
            </w:pPr>
          </w:p>
        </w:tc>
        <w:tc>
          <w:tcPr>
            <w:tcW w:w="1499" w:type="dxa"/>
            <w:noWrap w:val="0"/>
            <w:vAlign w:val="center"/>
          </w:tcPr>
          <w:p>
            <w:pPr>
              <w:pStyle w:val="25"/>
              <w:bidi w:val="0"/>
              <w:rPr>
                <w:rFonts w:hint="default"/>
                <w:lang w:val="en-US" w:eastAsia="zh-CN"/>
              </w:rPr>
            </w:pPr>
          </w:p>
        </w:tc>
        <w:tc>
          <w:tcPr>
            <w:tcW w:w="1499" w:type="dxa"/>
            <w:noWrap w:val="0"/>
            <w:vAlign w:val="center"/>
          </w:tcPr>
          <w:p>
            <w:pPr>
              <w:pStyle w:val="25"/>
              <w:bidi w:val="0"/>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8" w:type="dxa"/>
            <w:noWrap w:val="0"/>
            <w:vAlign w:val="center"/>
          </w:tcPr>
          <w:p>
            <w:pPr>
              <w:pStyle w:val="25"/>
              <w:bidi w:val="0"/>
              <w:rPr>
                <w:rFonts w:hint="default"/>
                <w:lang w:val="en-US" w:eastAsia="zh-CN"/>
              </w:rPr>
            </w:pPr>
            <w:r>
              <w:rPr>
                <w:rFonts w:hint="eastAsia"/>
                <w:lang w:val="en-US" w:eastAsia="zh-CN"/>
              </w:rPr>
              <w:t>2</w:t>
            </w:r>
          </w:p>
        </w:tc>
        <w:tc>
          <w:tcPr>
            <w:tcW w:w="1499" w:type="dxa"/>
            <w:noWrap w:val="0"/>
            <w:vAlign w:val="center"/>
          </w:tcPr>
          <w:p>
            <w:pPr>
              <w:pStyle w:val="25"/>
              <w:bidi w:val="0"/>
              <w:rPr>
                <w:rFonts w:hint="default"/>
                <w:lang w:val="en-US" w:eastAsia="zh-CN"/>
              </w:rPr>
            </w:pPr>
            <w:r>
              <w:rPr>
                <w:rFonts w:hint="eastAsia"/>
                <w:lang w:val="en-US" w:eastAsia="zh-CN"/>
              </w:rPr>
              <w:t>爱国村</w:t>
            </w:r>
          </w:p>
        </w:tc>
        <w:tc>
          <w:tcPr>
            <w:tcW w:w="1499" w:type="dxa"/>
            <w:noWrap w:val="0"/>
            <w:vAlign w:val="center"/>
          </w:tcPr>
          <w:p>
            <w:pPr>
              <w:pStyle w:val="25"/>
              <w:bidi w:val="0"/>
              <w:rPr>
                <w:rFonts w:hint="eastAsia"/>
                <w:lang w:val="en-US" w:eastAsia="zh-CN"/>
              </w:rPr>
            </w:pPr>
            <w:r>
              <w:rPr>
                <w:rFonts w:hint="eastAsia"/>
                <w:lang w:val="en-US" w:eastAsia="zh-CN"/>
              </w:rPr>
              <w:t>2队</w:t>
            </w:r>
          </w:p>
        </w:tc>
        <w:tc>
          <w:tcPr>
            <w:tcW w:w="1499" w:type="dxa"/>
            <w:noWrap w:val="0"/>
            <w:vAlign w:val="center"/>
          </w:tcPr>
          <w:p>
            <w:pPr>
              <w:pStyle w:val="25"/>
              <w:bidi w:val="0"/>
              <w:rPr>
                <w:rFonts w:hint="default"/>
                <w:lang w:val="en-US" w:eastAsia="zh-CN"/>
              </w:rPr>
            </w:pPr>
          </w:p>
        </w:tc>
        <w:tc>
          <w:tcPr>
            <w:tcW w:w="1499" w:type="dxa"/>
            <w:noWrap w:val="0"/>
            <w:vAlign w:val="center"/>
          </w:tcPr>
          <w:p>
            <w:pPr>
              <w:pStyle w:val="25"/>
              <w:bidi w:val="0"/>
              <w:rPr>
                <w:rFonts w:hint="default"/>
                <w:lang w:val="en-US" w:eastAsia="zh-CN"/>
              </w:rPr>
            </w:pPr>
          </w:p>
        </w:tc>
        <w:tc>
          <w:tcPr>
            <w:tcW w:w="1499" w:type="dxa"/>
            <w:noWrap w:val="0"/>
            <w:vAlign w:val="center"/>
          </w:tcPr>
          <w:p>
            <w:pPr>
              <w:pStyle w:val="25"/>
              <w:bidi w:val="0"/>
              <w:rPr>
                <w:rFonts w:hint="default"/>
                <w:lang w:val="en-US" w:eastAsia="zh-CN"/>
              </w:rPr>
            </w:pPr>
          </w:p>
        </w:tc>
        <w:tc>
          <w:tcPr>
            <w:tcW w:w="1499" w:type="dxa"/>
            <w:noWrap w:val="0"/>
            <w:vAlign w:val="center"/>
          </w:tcPr>
          <w:p>
            <w:pPr>
              <w:pStyle w:val="25"/>
              <w:bidi w:val="0"/>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8" w:type="dxa"/>
            <w:noWrap w:val="0"/>
            <w:vAlign w:val="center"/>
          </w:tcPr>
          <w:p>
            <w:pPr>
              <w:pStyle w:val="25"/>
              <w:bidi w:val="0"/>
              <w:rPr>
                <w:rFonts w:hint="default"/>
                <w:lang w:val="en-US" w:eastAsia="zh-CN"/>
              </w:rPr>
            </w:pPr>
            <w:r>
              <w:rPr>
                <w:rFonts w:hint="eastAsia"/>
                <w:lang w:val="en-US" w:eastAsia="zh-CN"/>
              </w:rPr>
              <w:t>3</w:t>
            </w:r>
          </w:p>
        </w:tc>
        <w:tc>
          <w:tcPr>
            <w:tcW w:w="1499" w:type="dxa"/>
            <w:noWrap w:val="0"/>
            <w:vAlign w:val="center"/>
          </w:tcPr>
          <w:p>
            <w:pPr>
              <w:pStyle w:val="25"/>
              <w:bidi w:val="0"/>
              <w:rPr>
                <w:rFonts w:hint="default"/>
                <w:lang w:val="en-US" w:eastAsia="zh-CN"/>
              </w:rPr>
            </w:pPr>
            <w:r>
              <w:rPr>
                <w:rFonts w:hint="eastAsia"/>
                <w:lang w:val="en-US" w:eastAsia="zh-CN"/>
              </w:rPr>
              <w:t>曙光村</w:t>
            </w:r>
          </w:p>
        </w:tc>
        <w:tc>
          <w:tcPr>
            <w:tcW w:w="1499" w:type="dxa"/>
            <w:noWrap w:val="0"/>
            <w:vAlign w:val="center"/>
          </w:tcPr>
          <w:p>
            <w:pPr>
              <w:pStyle w:val="25"/>
              <w:bidi w:val="0"/>
              <w:rPr>
                <w:rFonts w:hint="eastAsia"/>
                <w:lang w:val="en-US" w:eastAsia="zh-CN"/>
              </w:rPr>
            </w:pPr>
            <w:r>
              <w:rPr>
                <w:rFonts w:hint="eastAsia"/>
                <w:lang w:val="en-US" w:eastAsia="zh-CN"/>
              </w:rPr>
              <w:t>2队</w:t>
            </w:r>
          </w:p>
        </w:tc>
        <w:tc>
          <w:tcPr>
            <w:tcW w:w="1499" w:type="dxa"/>
            <w:noWrap w:val="0"/>
            <w:vAlign w:val="center"/>
          </w:tcPr>
          <w:p>
            <w:pPr>
              <w:pStyle w:val="25"/>
              <w:bidi w:val="0"/>
              <w:rPr>
                <w:rFonts w:hint="default"/>
                <w:lang w:val="en-US" w:eastAsia="zh-CN"/>
              </w:rPr>
            </w:pPr>
          </w:p>
        </w:tc>
        <w:tc>
          <w:tcPr>
            <w:tcW w:w="1499" w:type="dxa"/>
            <w:noWrap w:val="0"/>
            <w:vAlign w:val="center"/>
          </w:tcPr>
          <w:p>
            <w:pPr>
              <w:pStyle w:val="25"/>
              <w:bidi w:val="0"/>
              <w:rPr>
                <w:rFonts w:hint="default"/>
                <w:lang w:val="en-US" w:eastAsia="zh-CN"/>
              </w:rPr>
            </w:pPr>
          </w:p>
        </w:tc>
        <w:tc>
          <w:tcPr>
            <w:tcW w:w="1499" w:type="dxa"/>
            <w:noWrap w:val="0"/>
            <w:vAlign w:val="center"/>
          </w:tcPr>
          <w:p>
            <w:pPr>
              <w:pStyle w:val="25"/>
              <w:bidi w:val="0"/>
              <w:rPr>
                <w:rFonts w:hint="default"/>
                <w:lang w:val="en-US" w:eastAsia="zh-CN"/>
              </w:rPr>
            </w:pPr>
          </w:p>
        </w:tc>
        <w:tc>
          <w:tcPr>
            <w:tcW w:w="1499" w:type="dxa"/>
            <w:noWrap w:val="0"/>
            <w:vAlign w:val="center"/>
          </w:tcPr>
          <w:p>
            <w:pPr>
              <w:pStyle w:val="25"/>
              <w:bidi w:val="0"/>
              <w:rPr>
                <w:rFonts w:hint="default"/>
                <w:lang w:val="en-US" w:eastAsia="zh-CN"/>
              </w:rPr>
            </w:pPr>
            <w:r>
              <w:rPr>
                <w:rFonts w:hint="eastAsia"/>
                <w:lang w:val="en-US" w:eastAsia="zh-CN"/>
              </w:rPr>
              <w:t>√</w:t>
            </w:r>
          </w:p>
        </w:tc>
      </w:tr>
    </w:tbl>
    <w:p>
      <w:pPr>
        <w:pStyle w:val="2"/>
        <w:bidi w:val="0"/>
        <w:rPr>
          <w:rFonts w:hint="eastAsia"/>
        </w:rPr>
      </w:pPr>
    </w:p>
    <w:p>
      <w:pPr>
        <w:pStyle w:val="2"/>
        <w:bidi w:val="0"/>
        <w:rPr>
          <w:rFonts w:hint="eastAsia"/>
        </w:rPr>
      </w:pPr>
    </w:p>
    <w:p>
      <w:pPr>
        <w:pStyle w:val="3"/>
        <w:rPr>
          <w:rFonts w:hint="eastAsia"/>
        </w:rPr>
      </w:pPr>
    </w:p>
    <w:p>
      <w:pPr>
        <w:rPr>
          <w:rFonts w:hint="eastAsia"/>
        </w:rPr>
      </w:pPr>
    </w:p>
    <w:p>
      <w:pPr>
        <w:pStyle w:val="2"/>
        <w:rPr>
          <w:rFonts w:hint="eastAsia"/>
        </w:rPr>
      </w:pPr>
    </w:p>
    <w:p>
      <w:pPr>
        <w:pStyle w:val="3"/>
        <w:rPr>
          <w:rFonts w:hint="eastAsia"/>
        </w:rPr>
      </w:pPr>
    </w:p>
    <w:p>
      <w:pPr>
        <w:rPr>
          <w:rFonts w:hint="eastAsia"/>
        </w:rPr>
      </w:pPr>
    </w:p>
    <w:p>
      <w:pPr>
        <w:pStyle w:val="2"/>
        <w:rPr>
          <w:rFonts w:hint="eastAsia"/>
        </w:rPr>
      </w:pPr>
    </w:p>
    <w:p>
      <w:pPr>
        <w:pStyle w:val="3"/>
        <w:rPr>
          <w:rFonts w:hint="eastAsia"/>
        </w:rPr>
      </w:pPr>
    </w:p>
    <w:p>
      <w:pPr>
        <w:rPr>
          <w:rFonts w:hint="eastAsia"/>
        </w:rPr>
      </w:pPr>
    </w:p>
    <w:p>
      <w:pPr>
        <w:pStyle w:val="2"/>
        <w:rPr>
          <w:rFonts w:hint="eastAsia"/>
        </w:rPr>
      </w:pPr>
    </w:p>
    <w:p>
      <w:pPr>
        <w:pStyle w:val="3"/>
        <w:rPr>
          <w:rFonts w:hint="eastAsia"/>
        </w:rPr>
      </w:pPr>
    </w:p>
    <w:p>
      <w:pPr>
        <w:rPr>
          <w:rFonts w:hint="eastAsia"/>
        </w:rPr>
      </w:pPr>
    </w:p>
    <w:p>
      <w:pPr>
        <w:pStyle w:val="2"/>
        <w:rPr>
          <w:rFonts w:hint="eastAsia"/>
        </w:rPr>
      </w:pPr>
    </w:p>
    <w:p>
      <w:pPr>
        <w:pStyle w:val="2"/>
        <w:bidi w:val="0"/>
        <w:rPr>
          <w:rFonts w:hint="eastAsia"/>
        </w:rPr>
      </w:pPr>
    </w:p>
    <w:p>
      <w:pPr>
        <w:pStyle w:val="2"/>
        <w:bidi w:val="0"/>
        <w:rPr>
          <w:rFonts w:hint="eastAsia"/>
        </w:rPr>
      </w:pPr>
    </w:p>
    <w:p>
      <w:pPr>
        <w:pStyle w:val="2"/>
        <w:bidi w:val="0"/>
        <w:ind w:left="0" w:leftChars="0" w:firstLine="0" w:firstLineChars="0"/>
        <w:rPr>
          <w:rFonts w:hint="eastAsia"/>
        </w:rPr>
      </w:pPr>
    </w:p>
    <w:p>
      <w:pPr>
        <w:pStyle w:val="2"/>
        <w:bidi w:val="0"/>
        <w:rPr>
          <w:rFonts w:hint="eastAsia"/>
        </w:rPr>
      </w:pPr>
    </w:p>
    <w:p>
      <w:pPr>
        <w:pStyle w:val="2"/>
        <w:bidi w:val="0"/>
        <w:rPr>
          <w:rFonts w:hint="eastAsia"/>
        </w:rPr>
      </w:pPr>
    </w:p>
    <w:p>
      <w:pPr>
        <w:pStyle w:val="2"/>
        <w:bidi w:val="0"/>
        <w:sectPr>
          <w:footerReference r:id="rId5" w:type="default"/>
          <w:pgSz w:w="23814" w:h="16840" w:orient="landscape"/>
          <w:pgMar w:top="1797" w:right="1418" w:bottom="1418" w:left="1418" w:header="851" w:footer="992" w:gutter="0"/>
          <w:pgBorders>
            <w:top w:val="none" w:sz="0" w:space="0"/>
            <w:left w:val="none" w:sz="0" w:space="0"/>
            <w:bottom w:val="none" w:sz="0" w:space="0"/>
            <w:right w:val="none" w:sz="0" w:space="0"/>
          </w:pgBorders>
          <w:pgNumType w:start="1"/>
          <w:cols w:equalWidth="0" w:num="2">
            <w:col w:w="10276" w:space="425"/>
            <w:col w:w="10276"/>
          </w:cols>
          <w:docGrid w:linePitch="312" w:charSpace="0"/>
        </w:sectPr>
      </w:pPr>
    </w:p>
    <w:p>
      <w:pPr>
        <w:pStyle w:val="4"/>
        <w:spacing w:before="480" w:after="240"/>
        <w:rPr>
          <w:color w:val="000000"/>
        </w:rPr>
      </w:pPr>
      <w:bookmarkStart w:id="123" w:name="_Toc13338_WPSOffice_Level1"/>
      <w:bookmarkStart w:id="124" w:name="_Toc27838_WPSOffice_Level1"/>
      <w:bookmarkStart w:id="125" w:name="_Toc5811"/>
      <w:bookmarkStart w:id="126" w:name="_Toc12592"/>
      <w:bookmarkStart w:id="127" w:name="_Toc9257_WPSOffice_Level1"/>
      <w:bookmarkStart w:id="128" w:name="_Toc30146"/>
      <w:bookmarkStart w:id="129" w:name="_Toc590"/>
      <w:bookmarkStart w:id="130" w:name="_Toc11648"/>
      <w:bookmarkStart w:id="131" w:name="_Toc14793"/>
      <w:bookmarkStart w:id="132" w:name="_Toc16097"/>
      <w:bookmarkStart w:id="133" w:name="_Toc30299"/>
      <w:r>
        <w:rPr>
          <w:rFonts w:hint="eastAsia"/>
          <w:color w:val="000000"/>
        </w:rPr>
        <w:t>第三章</w:t>
      </w:r>
      <w:bookmarkStart w:id="134" w:name="_Toc378185962"/>
      <w:r>
        <w:rPr>
          <w:rFonts w:hint="eastAsia"/>
          <w:color w:val="000000"/>
        </w:rPr>
        <w:t xml:space="preserve"> </w:t>
      </w:r>
      <w:bookmarkEnd w:id="123"/>
      <w:bookmarkEnd w:id="124"/>
      <w:bookmarkEnd w:id="125"/>
      <w:bookmarkEnd w:id="134"/>
      <w:r>
        <w:rPr>
          <w:rFonts w:hint="eastAsia"/>
          <w:color w:val="000000"/>
        </w:rPr>
        <w:t>污染源分析</w:t>
      </w:r>
      <w:bookmarkEnd w:id="126"/>
      <w:bookmarkEnd w:id="127"/>
      <w:bookmarkEnd w:id="128"/>
      <w:bookmarkEnd w:id="129"/>
      <w:bookmarkEnd w:id="130"/>
      <w:bookmarkEnd w:id="131"/>
      <w:bookmarkEnd w:id="132"/>
      <w:bookmarkEnd w:id="133"/>
    </w:p>
    <w:p>
      <w:pPr>
        <w:pStyle w:val="7"/>
        <w:outlineLvl w:val="1"/>
      </w:pPr>
      <w:bookmarkStart w:id="135" w:name="_Toc11116_WPSOffice_Level2"/>
      <w:bookmarkStart w:id="136" w:name="_Toc8907"/>
      <w:bookmarkStart w:id="137" w:name="_Toc31382"/>
      <w:bookmarkStart w:id="138" w:name="_Toc32193_WPSOffice_Level2"/>
      <w:bookmarkStart w:id="139" w:name="_Toc15726"/>
      <w:bookmarkStart w:id="140" w:name="_Toc11390"/>
      <w:r>
        <w:rPr>
          <w:rFonts w:hint="eastAsia"/>
        </w:rPr>
        <w:t>3.1</w:t>
      </w:r>
      <w:bookmarkEnd w:id="135"/>
      <w:r>
        <w:rPr>
          <w:rFonts w:hint="eastAsia"/>
        </w:rPr>
        <w:t>用水及排水体制</w:t>
      </w:r>
      <w:bookmarkEnd w:id="136"/>
      <w:bookmarkEnd w:id="137"/>
      <w:bookmarkEnd w:id="138"/>
      <w:bookmarkEnd w:id="139"/>
      <w:bookmarkEnd w:id="140"/>
    </w:p>
    <w:p>
      <w:pPr>
        <w:pStyle w:val="7"/>
        <w:rPr>
          <w:rFonts w:hint="eastAsia"/>
        </w:rPr>
      </w:pPr>
      <w:r>
        <w:rPr>
          <w:rFonts w:hint="eastAsia"/>
        </w:rPr>
        <w:t>3.1.1用水结构</w:t>
      </w:r>
    </w:p>
    <w:p>
      <w:pPr>
        <w:pStyle w:val="2"/>
        <w:ind w:firstLine="560"/>
      </w:pPr>
      <w:r>
        <w:rPr>
          <w:rFonts w:hint="eastAsia"/>
        </w:rPr>
        <w:t>目前</w:t>
      </w:r>
      <w:r>
        <w:rPr>
          <w:rFonts w:hint="eastAsia"/>
          <w:lang w:eastAsia="zh-CN"/>
        </w:rPr>
        <w:t>友好区</w:t>
      </w:r>
      <w:r>
        <w:rPr>
          <w:rFonts w:hint="eastAsia"/>
        </w:rPr>
        <w:t>各农村用水由集中式饮用水水源供给，农村生活用水主要用于炊事、餐具洗涤、洗漱以及衣服洗涤等。</w:t>
      </w:r>
    </w:p>
    <w:p>
      <w:pPr>
        <w:pStyle w:val="7"/>
        <w:rPr>
          <w:rFonts w:hint="eastAsia"/>
        </w:rPr>
      </w:pPr>
      <w:r>
        <w:rPr>
          <w:rFonts w:hint="eastAsia"/>
        </w:rPr>
        <w:t>3.1.2排水情况</w:t>
      </w:r>
    </w:p>
    <w:p>
      <w:pPr>
        <w:pStyle w:val="2"/>
        <w:bidi w:val="0"/>
      </w:pPr>
      <w:r>
        <w:rPr>
          <w:rFonts w:hint="eastAsia"/>
        </w:rPr>
        <w:t>经现场走访，</w:t>
      </w:r>
      <w:r>
        <w:rPr>
          <w:rFonts w:hint="eastAsia"/>
          <w:lang w:val="en-US" w:eastAsia="zh-CN"/>
        </w:rPr>
        <w:t>友好区</w:t>
      </w:r>
      <w:r>
        <w:rPr>
          <w:rFonts w:hint="eastAsia"/>
        </w:rPr>
        <w:t>各农村尚未建立雨污分流体制，各村屯雨水通过排水沟汇入周边地表水体，部分村屯已建设浆砌石排水沟用以收集雨水或雪融水。</w:t>
      </w:r>
    </w:p>
    <w:p>
      <w:pPr>
        <w:pStyle w:val="7"/>
        <w:rPr>
          <w:rFonts w:hint="eastAsia"/>
        </w:rPr>
      </w:pPr>
      <w:r>
        <w:rPr>
          <w:rFonts w:hint="eastAsia"/>
        </w:rPr>
        <w:t>3.1.3农户改厕普及情况</w:t>
      </w:r>
    </w:p>
    <w:p>
      <w:pPr>
        <w:pStyle w:val="2"/>
        <w:bidi w:val="0"/>
        <w:rPr>
          <w:rFonts w:hint="eastAsia"/>
          <w:lang w:val="en-US" w:eastAsia="zh-CN"/>
        </w:rPr>
      </w:pPr>
      <w:r>
        <w:rPr>
          <w:rFonts w:hint="eastAsia"/>
          <w:lang w:val="en-US" w:eastAsia="zh-CN"/>
        </w:rPr>
        <w:t>友好区乡村污水治理处于起步阶段，乡村基本没有污水处理设施。具体改厕情况见下表。</w:t>
      </w:r>
    </w:p>
    <w:p>
      <w:pPr>
        <w:pStyle w:val="24"/>
        <w:bidi w:val="0"/>
        <w:rPr>
          <w:rFonts w:hint="eastAsia"/>
        </w:rPr>
      </w:pPr>
      <w:r>
        <w:rPr>
          <w:rFonts w:hint="eastAsia"/>
        </w:rPr>
        <w:t>表3-</w:t>
      </w:r>
      <w:r>
        <w:rPr>
          <w:rFonts w:hint="eastAsia"/>
          <w:lang w:val="en-US" w:eastAsia="zh-CN"/>
        </w:rPr>
        <w:t>1</w:t>
      </w:r>
      <w:r>
        <w:rPr>
          <w:rFonts w:hint="eastAsia"/>
        </w:rPr>
        <w:t xml:space="preserve">   </w:t>
      </w:r>
      <w:r>
        <w:rPr>
          <w:rFonts w:hint="eastAsia"/>
          <w:lang w:val="en-US" w:eastAsia="zh-CN"/>
        </w:rPr>
        <w:t>友好区</w:t>
      </w:r>
      <w:r>
        <w:rPr>
          <w:rFonts w:hint="eastAsia"/>
        </w:rPr>
        <w:t>现状改厕统计表</w:t>
      </w:r>
    </w:p>
    <w:tbl>
      <w:tblPr>
        <w:tblStyle w:val="41"/>
        <w:tblW w:w="1020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FFFFFF"/>
        <w:tblLayout w:type="autofit"/>
        <w:tblCellMar>
          <w:top w:w="0" w:type="dxa"/>
          <w:left w:w="0" w:type="dxa"/>
          <w:bottom w:w="0" w:type="dxa"/>
          <w:right w:w="0" w:type="dxa"/>
        </w:tblCellMar>
      </w:tblPr>
      <w:tblGrid>
        <w:gridCol w:w="1355"/>
        <w:gridCol w:w="1643"/>
        <w:gridCol w:w="1158"/>
        <w:gridCol w:w="1512"/>
        <w:gridCol w:w="1512"/>
        <w:gridCol w:w="1512"/>
        <w:gridCol w:w="151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8" w:hRule="atLeast"/>
          <w:jc w:val="center"/>
        </w:trPr>
        <w:tc>
          <w:tcPr>
            <w:tcW w:w="1046" w:type="dxa"/>
            <w:vMerge w:val="restart"/>
            <w:tcBorders>
              <w:tl2br w:val="nil"/>
              <w:tr2bl w:val="nil"/>
            </w:tcBorders>
            <w:shd w:val="clear" w:color="auto" w:fill="FFFFFF"/>
            <w:noWrap w:val="0"/>
            <w:tcMar>
              <w:top w:w="12" w:type="dxa"/>
              <w:left w:w="12" w:type="dxa"/>
              <w:right w:w="12" w:type="dxa"/>
            </w:tcMar>
            <w:vAlign w:val="center"/>
          </w:tcPr>
          <w:p>
            <w:pPr>
              <w:pStyle w:val="25"/>
              <w:bidi w:val="0"/>
              <w:rPr>
                <w:rFonts w:hint="default"/>
                <w:highlight w:val="none"/>
              </w:rPr>
            </w:pPr>
            <w:r>
              <w:rPr>
                <w:rFonts w:hint="eastAsia"/>
                <w:lang w:val="en-US" w:eastAsia="zh-CN"/>
              </w:rPr>
              <w:t>行政村</w:t>
            </w:r>
          </w:p>
        </w:tc>
        <w:tc>
          <w:tcPr>
            <w:tcW w:w="1267" w:type="dxa"/>
            <w:vMerge w:val="restart"/>
            <w:tcBorders>
              <w:tl2br w:val="nil"/>
              <w:tr2bl w:val="nil"/>
            </w:tcBorders>
            <w:shd w:val="clear" w:color="auto" w:fill="FFFFFF"/>
            <w:noWrap w:val="0"/>
            <w:tcMar>
              <w:top w:w="12" w:type="dxa"/>
              <w:left w:w="12" w:type="dxa"/>
              <w:right w:w="12" w:type="dxa"/>
            </w:tcMar>
            <w:vAlign w:val="center"/>
          </w:tcPr>
          <w:p>
            <w:pPr>
              <w:pStyle w:val="25"/>
              <w:bidi w:val="0"/>
              <w:rPr>
                <w:rFonts w:hint="default"/>
                <w:highlight w:val="none"/>
                <w:lang w:val="en-US" w:eastAsia="zh-CN"/>
              </w:rPr>
            </w:pPr>
            <w:r>
              <w:rPr>
                <w:rFonts w:hint="eastAsia"/>
                <w:lang w:val="en-US" w:eastAsia="zh-CN"/>
              </w:rPr>
              <w:t>自然屯</w:t>
            </w:r>
          </w:p>
        </w:tc>
        <w:tc>
          <w:tcPr>
            <w:tcW w:w="893" w:type="dxa"/>
            <w:vMerge w:val="restart"/>
            <w:tcBorders>
              <w:tl2br w:val="nil"/>
              <w:tr2bl w:val="nil"/>
            </w:tcBorders>
            <w:shd w:val="clear" w:color="auto" w:fill="FFFFFF"/>
            <w:noWrap w:val="0"/>
            <w:tcMar>
              <w:top w:w="12" w:type="dxa"/>
              <w:left w:w="12" w:type="dxa"/>
              <w:right w:w="12" w:type="dxa"/>
            </w:tcMar>
            <w:vAlign w:val="center"/>
          </w:tcPr>
          <w:p>
            <w:pPr>
              <w:pStyle w:val="25"/>
              <w:bidi w:val="0"/>
              <w:rPr>
                <w:rFonts w:hint="default"/>
                <w:highlight w:val="none"/>
                <w:lang w:val="en-US" w:eastAsia="zh-CN"/>
              </w:rPr>
            </w:pPr>
            <w:r>
              <w:rPr>
                <w:rFonts w:hint="default"/>
                <w:highlight w:val="none"/>
                <w:lang w:val="en-US" w:eastAsia="zh-CN"/>
              </w:rPr>
              <w:t>户数（户）</w:t>
            </w:r>
          </w:p>
        </w:tc>
        <w:tc>
          <w:tcPr>
            <w:tcW w:w="2332" w:type="dxa"/>
            <w:gridSpan w:val="2"/>
            <w:tcBorders>
              <w:tl2br w:val="nil"/>
              <w:tr2bl w:val="nil"/>
            </w:tcBorders>
            <w:shd w:val="clear" w:color="auto" w:fill="FFFFFF"/>
            <w:noWrap w:val="0"/>
            <w:tcMar>
              <w:top w:w="12" w:type="dxa"/>
              <w:left w:w="12" w:type="dxa"/>
              <w:right w:w="12" w:type="dxa"/>
            </w:tcMar>
            <w:vAlign w:val="center"/>
          </w:tcPr>
          <w:p>
            <w:pPr>
              <w:pStyle w:val="25"/>
              <w:bidi w:val="0"/>
              <w:rPr>
                <w:rFonts w:hint="default" w:eastAsia="宋体"/>
                <w:highlight w:val="none"/>
                <w:lang w:val="en-US" w:eastAsia="zh-CN"/>
              </w:rPr>
            </w:pPr>
            <w:r>
              <w:rPr>
                <w:rFonts w:hint="eastAsia"/>
                <w:highlight w:val="none"/>
                <w:lang w:val="en-US" w:eastAsia="zh-CN"/>
              </w:rPr>
              <w:t>现状改厕</w:t>
            </w:r>
          </w:p>
        </w:tc>
        <w:tc>
          <w:tcPr>
            <w:tcW w:w="2333" w:type="dxa"/>
            <w:gridSpan w:val="2"/>
            <w:tcBorders>
              <w:tl2br w:val="nil"/>
              <w:tr2bl w:val="nil"/>
            </w:tcBorders>
            <w:shd w:val="clear" w:color="auto" w:fill="FFFFFF"/>
            <w:noWrap w:val="0"/>
            <w:tcMar>
              <w:top w:w="12" w:type="dxa"/>
              <w:left w:w="12" w:type="dxa"/>
              <w:right w:w="12" w:type="dxa"/>
            </w:tcMar>
            <w:vAlign w:val="center"/>
          </w:tcPr>
          <w:p>
            <w:pPr>
              <w:pStyle w:val="25"/>
              <w:bidi w:val="0"/>
              <w:rPr>
                <w:rFonts w:hint="default"/>
                <w:highlight w:val="none"/>
                <w:lang w:val="en-US" w:eastAsia="zh-CN"/>
              </w:rPr>
            </w:pPr>
            <w:r>
              <w:rPr>
                <w:rFonts w:hint="eastAsia"/>
                <w:highlight w:val="none"/>
                <w:lang w:val="en-US" w:eastAsia="zh-CN"/>
              </w:rPr>
              <w:t>计划改厕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FFFFFF"/>
          <w:tblCellMar>
            <w:top w:w="0" w:type="dxa"/>
            <w:left w:w="0" w:type="dxa"/>
            <w:bottom w:w="0" w:type="dxa"/>
            <w:right w:w="0" w:type="dxa"/>
          </w:tblCellMar>
        </w:tblPrEx>
        <w:trPr>
          <w:trHeight w:val="303" w:hRule="atLeast"/>
          <w:jc w:val="center"/>
        </w:trPr>
        <w:tc>
          <w:tcPr>
            <w:tcW w:w="1046" w:type="dxa"/>
            <w:vMerge w:val="continue"/>
            <w:tcBorders>
              <w:tl2br w:val="nil"/>
              <w:tr2bl w:val="nil"/>
            </w:tcBorders>
            <w:shd w:val="clear" w:color="auto" w:fill="FFFFFF"/>
            <w:noWrap w:val="0"/>
            <w:tcMar>
              <w:top w:w="12" w:type="dxa"/>
              <w:left w:w="12" w:type="dxa"/>
              <w:right w:w="12" w:type="dxa"/>
            </w:tcMar>
            <w:vAlign w:val="center"/>
          </w:tcPr>
          <w:p>
            <w:pPr>
              <w:pStyle w:val="25"/>
              <w:bidi w:val="0"/>
              <w:rPr>
                <w:rFonts w:hint="eastAsia"/>
                <w:lang w:val="en-US" w:eastAsia="zh-CN"/>
              </w:rPr>
            </w:pPr>
          </w:p>
        </w:tc>
        <w:tc>
          <w:tcPr>
            <w:tcW w:w="1267" w:type="dxa"/>
            <w:vMerge w:val="continue"/>
            <w:tcBorders>
              <w:tl2br w:val="nil"/>
              <w:tr2bl w:val="nil"/>
            </w:tcBorders>
            <w:shd w:val="clear" w:color="auto" w:fill="FFFFFF"/>
            <w:noWrap w:val="0"/>
            <w:tcMar>
              <w:top w:w="12" w:type="dxa"/>
              <w:left w:w="12" w:type="dxa"/>
              <w:right w:w="12" w:type="dxa"/>
            </w:tcMar>
            <w:vAlign w:val="center"/>
          </w:tcPr>
          <w:p>
            <w:pPr>
              <w:pStyle w:val="25"/>
              <w:bidi w:val="0"/>
              <w:rPr>
                <w:rFonts w:hint="eastAsia"/>
                <w:lang w:val="en-US" w:eastAsia="zh-CN"/>
              </w:rPr>
            </w:pPr>
          </w:p>
        </w:tc>
        <w:tc>
          <w:tcPr>
            <w:tcW w:w="893" w:type="dxa"/>
            <w:vMerge w:val="continue"/>
            <w:tcBorders>
              <w:tl2br w:val="nil"/>
              <w:tr2bl w:val="nil"/>
            </w:tcBorders>
            <w:shd w:val="clear" w:color="auto" w:fill="FFFFFF"/>
            <w:noWrap w:val="0"/>
            <w:tcMar>
              <w:top w:w="12" w:type="dxa"/>
              <w:left w:w="12" w:type="dxa"/>
              <w:right w:w="12" w:type="dxa"/>
            </w:tcMar>
            <w:vAlign w:val="center"/>
          </w:tcPr>
          <w:p>
            <w:pPr>
              <w:pStyle w:val="25"/>
              <w:bidi w:val="0"/>
              <w:rPr>
                <w:rFonts w:hint="default"/>
                <w:highlight w:val="none"/>
                <w:lang w:val="en-US" w:eastAsia="zh-CN"/>
              </w:rPr>
            </w:pPr>
          </w:p>
        </w:tc>
        <w:tc>
          <w:tcPr>
            <w:tcW w:w="1166" w:type="dxa"/>
            <w:tcBorders>
              <w:tl2br w:val="nil"/>
              <w:tr2bl w:val="nil"/>
            </w:tcBorders>
            <w:shd w:val="clear" w:color="auto" w:fill="FFFFFF"/>
            <w:noWrap w:val="0"/>
            <w:tcMar>
              <w:top w:w="12" w:type="dxa"/>
              <w:left w:w="12" w:type="dxa"/>
              <w:right w:w="12" w:type="dxa"/>
            </w:tcMar>
            <w:vAlign w:val="center"/>
          </w:tcPr>
          <w:p>
            <w:pPr>
              <w:pStyle w:val="25"/>
              <w:bidi w:val="0"/>
              <w:rPr>
                <w:rFonts w:hint="default"/>
                <w:highlight w:val="none"/>
                <w:lang w:val="en-US" w:eastAsia="zh-CN"/>
              </w:rPr>
            </w:pPr>
            <w:r>
              <w:rPr>
                <w:rFonts w:hint="default"/>
                <w:highlight w:val="none"/>
                <w:lang w:val="en-US" w:eastAsia="zh-CN"/>
              </w:rPr>
              <w:t>水冲厕改厕户数统计（户）</w:t>
            </w:r>
          </w:p>
        </w:tc>
        <w:tc>
          <w:tcPr>
            <w:tcW w:w="1166" w:type="dxa"/>
            <w:tcBorders>
              <w:tl2br w:val="nil"/>
              <w:tr2bl w:val="nil"/>
            </w:tcBorders>
            <w:shd w:val="clear" w:color="auto" w:fill="FFFFFF"/>
            <w:noWrap w:val="0"/>
            <w:tcMar>
              <w:top w:w="12" w:type="dxa"/>
              <w:left w:w="12" w:type="dxa"/>
              <w:right w:w="12" w:type="dxa"/>
            </w:tcMar>
            <w:vAlign w:val="center"/>
          </w:tcPr>
          <w:p>
            <w:pPr>
              <w:pStyle w:val="25"/>
              <w:bidi w:val="0"/>
              <w:rPr>
                <w:rFonts w:hint="default"/>
                <w:highlight w:val="none"/>
                <w:lang w:val="en-US" w:eastAsia="zh-CN"/>
              </w:rPr>
            </w:pPr>
            <w:r>
              <w:rPr>
                <w:rFonts w:hint="default"/>
                <w:highlight w:val="none"/>
                <w:lang w:val="en-US" w:eastAsia="zh-CN"/>
              </w:rPr>
              <w:t>占比（%）</w:t>
            </w:r>
          </w:p>
        </w:tc>
        <w:tc>
          <w:tcPr>
            <w:tcW w:w="1166" w:type="dxa"/>
            <w:tcBorders>
              <w:tl2br w:val="nil"/>
              <w:tr2bl w:val="nil"/>
            </w:tcBorders>
            <w:shd w:val="clear" w:color="auto" w:fill="FFFFFF"/>
            <w:noWrap w:val="0"/>
            <w:tcMar>
              <w:top w:w="12" w:type="dxa"/>
              <w:left w:w="12" w:type="dxa"/>
              <w:right w:w="12" w:type="dxa"/>
            </w:tcMar>
            <w:vAlign w:val="center"/>
          </w:tcPr>
          <w:p>
            <w:pPr>
              <w:pStyle w:val="25"/>
              <w:bidi w:val="0"/>
              <w:rPr>
                <w:rFonts w:hint="default"/>
                <w:highlight w:val="none"/>
                <w:lang w:val="en-US" w:eastAsia="zh-CN"/>
              </w:rPr>
            </w:pPr>
            <w:r>
              <w:rPr>
                <w:rFonts w:hint="default"/>
                <w:highlight w:val="none"/>
                <w:lang w:val="en-US" w:eastAsia="zh-CN"/>
              </w:rPr>
              <w:t>水冲厕改厕户数统计（户）</w:t>
            </w:r>
          </w:p>
        </w:tc>
        <w:tc>
          <w:tcPr>
            <w:tcW w:w="1167" w:type="dxa"/>
            <w:tcBorders>
              <w:tl2br w:val="nil"/>
              <w:tr2bl w:val="nil"/>
            </w:tcBorders>
            <w:shd w:val="clear" w:color="auto" w:fill="FFFFFF"/>
            <w:noWrap w:val="0"/>
            <w:tcMar>
              <w:top w:w="12" w:type="dxa"/>
              <w:left w:w="12" w:type="dxa"/>
              <w:right w:w="12" w:type="dxa"/>
            </w:tcMar>
            <w:vAlign w:val="center"/>
          </w:tcPr>
          <w:p>
            <w:pPr>
              <w:pStyle w:val="25"/>
              <w:bidi w:val="0"/>
              <w:rPr>
                <w:rFonts w:hint="default"/>
                <w:highlight w:val="none"/>
                <w:lang w:val="en-US" w:eastAsia="zh-CN"/>
              </w:rPr>
            </w:pPr>
            <w:r>
              <w:rPr>
                <w:rFonts w:hint="default"/>
                <w:highlight w:val="none"/>
                <w:lang w:val="en-US" w:eastAsia="zh-CN"/>
              </w:rPr>
              <w:t>占比（%）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FFFFFF"/>
          <w:tblCellMar>
            <w:top w:w="0" w:type="dxa"/>
            <w:left w:w="0" w:type="dxa"/>
            <w:bottom w:w="0" w:type="dxa"/>
            <w:right w:w="0" w:type="dxa"/>
          </w:tblCellMar>
        </w:tblPrEx>
        <w:trPr>
          <w:trHeight w:val="90" w:hRule="atLeast"/>
          <w:jc w:val="center"/>
        </w:trPr>
        <w:tc>
          <w:tcPr>
            <w:tcW w:w="1046" w:type="dxa"/>
            <w:tcBorders>
              <w:tl2br w:val="nil"/>
              <w:tr2bl w:val="nil"/>
            </w:tcBorders>
            <w:shd w:val="clear" w:color="auto" w:fill="FFFFFF"/>
            <w:noWrap w:val="0"/>
            <w:tcMar>
              <w:top w:w="12" w:type="dxa"/>
              <w:left w:w="12" w:type="dxa"/>
              <w:right w:w="12" w:type="dxa"/>
            </w:tcMar>
            <w:vAlign w:val="center"/>
          </w:tcPr>
          <w:p>
            <w:pPr>
              <w:pStyle w:val="25"/>
              <w:bidi w:val="0"/>
              <w:rPr>
                <w:rFonts w:hint="default"/>
                <w:highlight w:val="none"/>
              </w:rPr>
            </w:pPr>
            <w:r>
              <w:rPr>
                <w:rFonts w:hint="eastAsia"/>
                <w:lang w:val="en-US" w:eastAsia="zh-CN"/>
              </w:rPr>
              <w:t>青山村</w:t>
            </w:r>
          </w:p>
        </w:tc>
        <w:tc>
          <w:tcPr>
            <w:tcW w:w="1267" w:type="dxa"/>
            <w:tcBorders>
              <w:tl2br w:val="nil"/>
              <w:tr2bl w:val="nil"/>
            </w:tcBorders>
            <w:shd w:val="clear" w:color="auto" w:fill="FFFFFF"/>
            <w:noWrap w:val="0"/>
            <w:tcMar>
              <w:top w:w="12" w:type="dxa"/>
              <w:left w:w="12" w:type="dxa"/>
              <w:right w:w="12" w:type="dxa"/>
            </w:tcMar>
            <w:vAlign w:val="center"/>
          </w:tcPr>
          <w:p>
            <w:pPr>
              <w:pStyle w:val="25"/>
              <w:bidi w:val="0"/>
              <w:rPr>
                <w:rFonts w:hint="eastAsia"/>
                <w:highlight w:val="none"/>
                <w:lang w:val="en-US" w:eastAsia="zh-CN"/>
              </w:rPr>
            </w:pPr>
            <w:r>
              <w:rPr>
                <w:rFonts w:hint="eastAsia"/>
                <w:lang w:val="en-US" w:eastAsia="zh-CN"/>
              </w:rPr>
              <w:t>1队</w:t>
            </w:r>
          </w:p>
        </w:tc>
        <w:tc>
          <w:tcPr>
            <w:tcW w:w="893" w:type="dxa"/>
            <w:tcBorders>
              <w:tl2br w:val="nil"/>
              <w:tr2bl w:val="nil"/>
            </w:tcBorders>
            <w:shd w:val="clear" w:color="auto" w:fill="FFFFFF"/>
            <w:noWrap w:val="0"/>
            <w:tcMar>
              <w:top w:w="12" w:type="dxa"/>
              <w:left w:w="12" w:type="dxa"/>
              <w:right w:w="12" w:type="dxa"/>
            </w:tcMar>
            <w:vAlign w:val="center"/>
          </w:tcPr>
          <w:p>
            <w:pPr>
              <w:pStyle w:val="25"/>
              <w:bidi w:val="0"/>
              <w:rPr>
                <w:rFonts w:hint="default"/>
                <w:lang w:val="en-US"/>
              </w:rPr>
            </w:pPr>
            <w:r>
              <w:rPr>
                <w:rFonts w:hint="eastAsia"/>
                <w:lang w:val="en-US" w:eastAsia="zh-CN"/>
              </w:rPr>
              <w:t>30</w:t>
            </w:r>
          </w:p>
        </w:tc>
        <w:tc>
          <w:tcPr>
            <w:tcW w:w="1166" w:type="dxa"/>
            <w:tcBorders>
              <w:tl2br w:val="nil"/>
              <w:tr2bl w:val="nil"/>
            </w:tcBorders>
            <w:shd w:val="clear" w:color="auto" w:fill="FFFFFF"/>
            <w:noWrap w:val="0"/>
            <w:tcMar>
              <w:top w:w="12" w:type="dxa"/>
              <w:left w:w="12" w:type="dxa"/>
              <w:right w:w="12" w:type="dxa"/>
            </w:tcMar>
            <w:vAlign w:val="center"/>
          </w:tcPr>
          <w:p>
            <w:pPr>
              <w:pStyle w:val="25"/>
              <w:bidi w:val="0"/>
              <w:rPr>
                <w:rFonts w:hint="default"/>
                <w:highlight w:val="none"/>
                <w:lang w:val="en-US" w:eastAsia="zh-CN"/>
              </w:rPr>
            </w:pPr>
            <w:r>
              <w:rPr>
                <w:rFonts w:hint="eastAsia"/>
                <w:highlight w:val="none"/>
                <w:lang w:val="en-US" w:eastAsia="zh-CN"/>
              </w:rPr>
              <w:t>3</w:t>
            </w:r>
          </w:p>
        </w:tc>
        <w:tc>
          <w:tcPr>
            <w:tcW w:w="1166" w:type="dxa"/>
            <w:tcBorders>
              <w:tl2br w:val="nil"/>
              <w:tr2bl w:val="nil"/>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default"/>
                <w:highlight w:val="none"/>
              </w:rPr>
            </w:pPr>
            <w:r>
              <w:rPr>
                <w:rFonts w:hint="default" w:ascii="Times New Roman" w:hAnsi="Times New Roman" w:eastAsia="宋体" w:cs="Times New Roman"/>
                <w:i w:val="0"/>
                <w:color w:val="000000"/>
                <w:kern w:val="0"/>
                <w:sz w:val="21"/>
                <w:szCs w:val="21"/>
                <w:u w:val="none"/>
                <w:lang w:val="en-US" w:eastAsia="zh-CN" w:bidi="ar"/>
              </w:rPr>
              <w:t>10.00%</w:t>
            </w:r>
          </w:p>
        </w:tc>
        <w:tc>
          <w:tcPr>
            <w:tcW w:w="1166" w:type="dxa"/>
            <w:tcBorders>
              <w:tl2br w:val="nil"/>
              <w:tr2bl w:val="nil"/>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17</w:t>
            </w:r>
          </w:p>
        </w:tc>
        <w:tc>
          <w:tcPr>
            <w:tcW w:w="1167" w:type="dxa"/>
            <w:tcBorders>
              <w:tl2br w:val="nil"/>
              <w:tr2bl w:val="nil"/>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56.67%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3" w:hRule="atLeast"/>
          <w:jc w:val="center"/>
        </w:trPr>
        <w:tc>
          <w:tcPr>
            <w:tcW w:w="1046" w:type="dxa"/>
            <w:tcBorders>
              <w:tl2br w:val="nil"/>
              <w:tr2bl w:val="nil"/>
            </w:tcBorders>
            <w:shd w:val="clear" w:color="auto" w:fill="FFFFFF"/>
            <w:noWrap w:val="0"/>
            <w:tcMar>
              <w:top w:w="12" w:type="dxa"/>
              <w:left w:w="12" w:type="dxa"/>
              <w:right w:w="12" w:type="dxa"/>
            </w:tcMar>
            <w:vAlign w:val="center"/>
          </w:tcPr>
          <w:p>
            <w:pPr>
              <w:pStyle w:val="25"/>
              <w:bidi w:val="0"/>
              <w:rPr>
                <w:rFonts w:hint="default"/>
                <w:highlight w:val="none"/>
              </w:rPr>
            </w:pPr>
            <w:r>
              <w:rPr>
                <w:rFonts w:hint="eastAsia"/>
                <w:lang w:val="en-US" w:eastAsia="zh-CN"/>
              </w:rPr>
              <w:t>青山村</w:t>
            </w:r>
          </w:p>
        </w:tc>
        <w:tc>
          <w:tcPr>
            <w:tcW w:w="1267" w:type="dxa"/>
            <w:tcBorders>
              <w:tl2br w:val="nil"/>
              <w:tr2bl w:val="nil"/>
            </w:tcBorders>
            <w:shd w:val="clear" w:color="auto" w:fill="FFFFFF"/>
            <w:noWrap w:val="0"/>
            <w:tcMar>
              <w:top w:w="12" w:type="dxa"/>
              <w:left w:w="12" w:type="dxa"/>
              <w:right w:w="12" w:type="dxa"/>
            </w:tcMar>
            <w:vAlign w:val="center"/>
          </w:tcPr>
          <w:p>
            <w:pPr>
              <w:pStyle w:val="25"/>
              <w:bidi w:val="0"/>
              <w:rPr>
                <w:rFonts w:hint="eastAsia"/>
                <w:highlight w:val="none"/>
                <w:lang w:val="en-US" w:eastAsia="zh-CN"/>
              </w:rPr>
            </w:pPr>
            <w:r>
              <w:rPr>
                <w:rFonts w:hint="eastAsia"/>
                <w:lang w:val="en-US" w:eastAsia="zh-CN"/>
              </w:rPr>
              <w:t>2队</w:t>
            </w:r>
          </w:p>
        </w:tc>
        <w:tc>
          <w:tcPr>
            <w:tcW w:w="893" w:type="dxa"/>
            <w:tcBorders>
              <w:tl2br w:val="nil"/>
              <w:tr2bl w:val="nil"/>
            </w:tcBorders>
            <w:shd w:val="clear" w:color="auto" w:fill="FFFFFF"/>
            <w:noWrap w:val="0"/>
            <w:tcMar>
              <w:top w:w="12" w:type="dxa"/>
              <w:left w:w="12" w:type="dxa"/>
              <w:right w:w="12" w:type="dxa"/>
            </w:tcMar>
            <w:vAlign w:val="center"/>
          </w:tcPr>
          <w:p>
            <w:pPr>
              <w:pStyle w:val="25"/>
              <w:bidi w:val="0"/>
              <w:rPr>
                <w:rFonts w:hint="default"/>
                <w:lang w:val="en-US"/>
              </w:rPr>
            </w:pPr>
            <w:r>
              <w:rPr>
                <w:rFonts w:hint="eastAsia"/>
                <w:lang w:val="en-US" w:eastAsia="zh-CN"/>
              </w:rPr>
              <w:t>76</w:t>
            </w:r>
          </w:p>
        </w:tc>
        <w:tc>
          <w:tcPr>
            <w:tcW w:w="1166" w:type="dxa"/>
            <w:tcBorders>
              <w:tl2br w:val="nil"/>
              <w:tr2bl w:val="nil"/>
            </w:tcBorders>
            <w:shd w:val="clear" w:color="auto" w:fill="FFFFFF"/>
            <w:noWrap w:val="0"/>
            <w:tcMar>
              <w:top w:w="12" w:type="dxa"/>
              <w:left w:w="12" w:type="dxa"/>
              <w:right w:w="12" w:type="dxa"/>
            </w:tcMar>
            <w:vAlign w:val="center"/>
          </w:tcPr>
          <w:p>
            <w:pPr>
              <w:pStyle w:val="25"/>
              <w:bidi w:val="0"/>
              <w:rPr>
                <w:rFonts w:hint="default"/>
                <w:highlight w:val="none"/>
                <w:lang w:val="en-US" w:eastAsia="zh-CN"/>
              </w:rPr>
            </w:pPr>
            <w:r>
              <w:rPr>
                <w:rFonts w:hint="eastAsia"/>
                <w:highlight w:val="none"/>
                <w:lang w:val="en-US" w:eastAsia="zh-CN"/>
              </w:rPr>
              <w:t>29</w:t>
            </w:r>
          </w:p>
        </w:tc>
        <w:tc>
          <w:tcPr>
            <w:tcW w:w="1166" w:type="dxa"/>
            <w:tcBorders>
              <w:tl2br w:val="nil"/>
              <w:tr2bl w:val="nil"/>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default"/>
                <w:highlight w:val="none"/>
              </w:rPr>
            </w:pPr>
            <w:r>
              <w:rPr>
                <w:rFonts w:hint="default" w:ascii="Times New Roman" w:hAnsi="Times New Roman" w:eastAsia="宋体" w:cs="Times New Roman"/>
                <w:i w:val="0"/>
                <w:color w:val="000000"/>
                <w:kern w:val="0"/>
                <w:sz w:val="21"/>
                <w:szCs w:val="21"/>
                <w:u w:val="none"/>
                <w:lang w:val="en-US" w:eastAsia="zh-CN" w:bidi="ar"/>
              </w:rPr>
              <w:t>38.16%</w:t>
            </w:r>
          </w:p>
        </w:tc>
        <w:tc>
          <w:tcPr>
            <w:tcW w:w="1166" w:type="dxa"/>
            <w:tcBorders>
              <w:tl2br w:val="nil"/>
              <w:tr2bl w:val="nil"/>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10</w:t>
            </w:r>
          </w:p>
        </w:tc>
        <w:tc>
          <w:tcPr>
            <w:tcW w:w="1167" w:type="dxa"/>
            <w:tcBorders>
              <w:tl2br w:val="nil"/>
              <w:tr2bl w:val="nil"/>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13.16%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3" w:hRule="atLeast"/>
          <w:jc w:val="center"/>
        </w:trPr>
        <w:tc>
          <w:tcPr>
            <w:tcW w:w="1046" w:type="dxa"/>
            <w:tcBorders>
              <w:tl2br w:val="nil"/>
              <w:tr2bl w:val="nil"/>
            </w:tcBorders>
            <w:shd w:val="clear" w:color="auto" w:fill="FFFFFF"/>
            <w:noWrap w:val="0"/>
            <w:tcMar>
              <w:top w:w="12" w:type="dxa"/>
              <w:left w:w="12" w:type="dxa"/>
              <w:right w:w="12" w:type="dxa"/>
            </w:tcMar>
            <w:vAlign w:val="center"/>
          </w:tcPr>
          <w:p>
            <w:pPr>
              <w:pStyle w:val="25"/>
              <w:bidi w:val="0"/>
              <w:rPr>
                <w:rFonts w:hint="default"/>
                <w:highlight w:val="none"/>
              </w:rPr>
            </w:pPr>
            <w:r>
              <w:rPr>
                <w:rFonts w:hint="eastAsia"/>
                <w:lang w:val="en-US" w:eastAsia="zh-CN"/>
              </w:rPr>
              <w:t>青山村</w:t>
            </w:r>
          </w:p>
        </w:tc>
        <w:tc>
          <w:tcPr>
            <w:tcW w:w="1267" w:type="dxa"/>
            <w:tcBorders>
              <w:tl2br w:val="nil"/>
              <w:tr2bl w:val="nil"/>
            </w:tcBorders>
            <w:shd w:val="clear" w:color="auto" w:fill="FFFFFF"/>
            <w:noWrap w:val="0"/>
            <w:tcMar>
              <w:top w:w="12" w:type="dxa"/>
              <w:left w:w="12" w:type="dxa"/>
              <w:right w:w="12" w:type="dxa"/>
            </w:tcMar>
            <w:vAlign w:val="center"/>
          </w:tcPr>
          <w:p>
            <w:pPr>
              <w:pStyle w:val="25"/>
              <w:bidi w:val="0"/>
              <w:rPr>
                <w:rFonts w:hint="eastAsia"/>
                <w:highlight w:val="none"/>
                <w:lang w:val="en-US" w:eastAsia="zh-CN"/>
              </w:rPr>
            </w:pPr>
            <w:r>
              <w:rPr>
                <w:rFonts w:hint="eastAsia"/>
                <w:lang w:val="en-US" w:eastAsia="zh-CN"/>
              </w:rPr>
              <w:t>3队</w:t>
            </w:r>
          </w:p>
        </w:tc>
        <w:tc>
          <w:tcPr>
            <w:tcW w:w="893" w:type="dxa"/>
            <w:tcBorders>
              <w:tl2br w:val="nil"/>
              <w:tr2bl w:val="nil"/>
            </w:tcBorders>
            <w:shd w:val="clear" w:color="auto" w:fill="FFFFFF"/>
            <w:noWrap w:val="0"/>
            <w:tcMar>
              <w:top w:w="12" w:type="dxa"/>
              <w:left w:w="12" w:type="dxa"/>
              <w:right w:w="12" w:type="dxa"/>
            </w:tcMar>
            <w:vAlign w:val="center"/>
          </w:tcPr>
          <w:p>
            <w:pPr>
              <w:pStyle w:val="25"/>
              <w:bidi w:val="0"/>
              <w:rPr>
                <w:rFonts w:hint="default"/>
                <w:lang w:val="en-US" w:eastAsia="zh-CN"/>
              </w:rPr>
            </w:pPr>
            <w:r>
              <w:rPr>
                <w:rFonts w:hint="eastAsia"/>
                <w:lang w:val="en-US" w:eastAsia="zh-CN"/>
              </w:rPr>
              <w:t>32</w:t>
            </w:r>
          </w:p>
        </w:tc>
        <w:tc>
          <w:tcPr>
            <w:tcW w:w="1166" w:type="dxa"/>
            <w:tcBorders>
              <w:tl2br w:val="nil"/>
              <w:tr2bl w:val="nil"/>
            </w:tcBorders>
            <w:shd w:val="clear" w:color="auto" w:fill="FFFFFF"/>
            <w:noWrap w:val="0"/>
            <w:tcMar>
              <w:top w:w="12" w:type="dxa"/>
              <w:left w:w="12" w:type="dxa"/>
              <w:right w:w="12" w:type="dxa"/>
            </w:tcMar>
            <w:vAlign w:val="center"/>
          </w:tcPr>
          <w:p>
            <w:pPr>
              <w:pStyle w:val="25"/>
              <w:bidi w:val="0"/>
              <w:rPr>
                <w:rFonts w:hint="default"/>
                <w:highlight w:val="none"/>
                <w:lang w:val="en-US" w:eastAsia="zh-CN"/>
              </w:rPr>
            </w:pPr>
            <w:r>
              <w:rPr>
                <w:rFonts w:hint="eastAsia"/>
                <w:highlight w:val="none"/>
                <w:lang w:val="en-US" w:eastAsia="zh-CN"/>
              </w:rPr>
              <w:t>5</w:t>
            </w:r>
          </w:p>
        </w:tc>
        <w:tc>
          <w:tcPr>
            <w:tcW w:w="1166" w:type="dxa"/>
            <w:tcBorders>
              <w:tl2br w:val="nil"/>
              <w:tr2bl w:val="nil"/>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default"/>
                <w:highlight w:val="none"/>
              </w:rPr>
            </w:pPr>
            <w:r>
              <w:rPr>
                <w:rFonts w:hint="default" w:ascii="Times New Roman" w:hAnsi="Times New Roman" w:eastAsia="宋体" w:cs="Times New Roman"/>
                <w:i w:val="0"/>
                <w:color w:val="000000"/>
                <w:kern w:val="0"/>
                <w:sz w:val="21"/>
                <w:szCs w:val="21"/>
                <w:u w:val="none"/>
                <w:lang w:val="en-US" w:eastAsia="zh-CN" w:bidi="ar"/>
              </w:rPr>
              <w:t>15.63%</w:t>
            </w:r>
          </w:p>
        </w:tc>
        <w:tc>
          <w:tcPr>
            <w:tcW w:w="1166" w:type="dxa"/>
            <w:tcBorders>
              <w:tl2br w:val="nil"/>
              <w:tr2bl w:val="nil"/>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10</w:t>
            </w:r>
          </w:p>
        </w:tc>
        <w:tc>
          <w:tcPr>
            <w:tcW w:w="1167" w:type="dxa"/>
            <w:tcBorders>
              <w:tl2br w:val="nil"/>
              <w:tr2bl w:val="nil"/>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31.25%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3" w:hRule="atLeast"/>
          <w:jc w:val="center"/>
        </w:trPr>
        <w:tc>
          <w:tcPr>
            <w:tcW w:w="1046" w:type="dxa"/>
            <w:tcBorders>
              <w:tl2br w:val="nil"/>
              <w:tr2bl w:val="nil"/>
            </w:tcBorders>
            <w:shd w:val="clear" w:color="auto" w:fill="FFFFFF"/>
            <w:noWrap w:val="0"/>
            <w:tcMar>
              <w:top w:w="12" w:type="dxa"/>
              <w:left w:w="12" w:type="dxa"/>
              <w:right w:w="12" w:type="dxa"/>
            </w:tcMar>
            <w:vAlign w:val="center"/>
          </w:tcPr>
          <w:p>
            <w:pPr>
              <w:pStyle w:val="25"/>
              <w:bidi w:val="0"/>
              <w:rPr>
                <w:rFonts w:hint="eastAsia"/>
                <w:highlight w:val="none"/>
                <w:lang w:val="en-US" w:eastAsia="zh-CN"/>
              </w:rPr>
            </w:pPr>
            <w:r>
              <w:rPr>
                <w:rFonts w:hint="eastAsia"/>
                <w:lang w:val="en-US" w:eastAsia="zh-CN"/>
              </w:rPr>
              <w:t>爱国村</w:t>
            </w:r>
          </w:p>
        </w:tc>
        <w:tc>
          <w:tcPr>
            <w:tcW w:w="1267" w:type="dxa"/>
            <w:tcBorders>
              <w:tl2br w:val="nil"/>
              <w:tr2bl w:val="nil"/>
            </w:tcBorders>
            <w:shd w:val="clear" w:color="auto" w:fill="FFFFFF"/>
            <w:noWrap w:val="0"/>
            <w:tcMar>
              <w:top w:w="12" w:type="dxa"/>
              <w:left w:w="12" w:type="dxa"/>
              <w:right w:w="12" w:type="dxa"/>
            </w:tcMar>
            <w:vAlign w:val="center"/>
          </w:tcPr>
          <w:p>
            <w:pPr>
              <w:pStyle w:val="25"/>
              <w:bidi w:val="0"/>
              <w:rPr>
                <w:rFonts w:hint="eastAsia"/>
                <w:highlight w:val="none"/>
                <w:lang w:val="en-US" w:eastAsia="zh-CN"/>
              </w:rPr>
            </w:pPr>
            <w:r>
              <w:rPr>
                <w:rFonts w:hint="eastAsia"/>
                <w:lang w:val="en-US" w:eastAsia="zh-CN"/>
              </w:rPr>
              <w:t>1队</w:t>
            </w:r>
          </w:p>
        </w:tc>
        <w:tc>
          <w:tcPr>
            <w:tcW w:w="893" w:type="dxa"/>
            <w:tcBorders>
              <w:tl2br w:val="nil"/>
              <w:tr2bl w:val="nil"/>
            </w:tcBorders>
            <w:shd w:val="clear" w:color="auto" w:fill="FFFFFF"/>
            <w:noWrap w:val="0"/>
            <w:tcMar>
              <w:top w:w="12" w:type="dxa"/>
              <w:left w:w="12" w:type="dxa"/>
              <w:right w:w="12" w:type="dxa"/>
            </w:tcMar>
            <w:vAlign w:val="center"/>
          </w:tcPr>
          <w:p>
            <w:pPr>
              <w:pStyle w:val="25"/>
              <w:bidi w:val="0"/>
              <w:rPr>
                <w:rFonts w:hint="default"/>
                <w:lang w:val="en-US" w:eastAsia="zh-CN"/>
              </w:rPr>
            </w:pPr>
            <w:r>
              <w:rPr>
                <w:rFonts w:hint="eastAsia"/>
                <w:lang w:val="en-US" w:eastAsia="zh-CN"/>
              </w:rPr>
              <w:t>16</w:t>
            </w:r>
          </w:p>
        </w:tc>
        <w:tc>
          <w:tcPr>
            <w:tcW w:w="1166" w:type="dxa"/>
            <w:tcBorders>
              <w:tl2br w:val="nil"/>
              <w:tr2bl w:val="nil"/>
            </w:tcBorders>
            <w:shd w:val="clear" w:color="auto" w:fill="FFFFFF"/>
            <w:noWrap w:val="0"/>
            <w:tcMar>
              <w:top w:w="12" w:type="dxa"/>
              <w:left w:w="12" w:type="dxa"/>
              <w:right w:w="12" w:type="dxa"/>
            </w:tcMar>
            <w:vAlign w:val="center"/>
          </w:tcPr>
          <w:p>
            <w:pPr>
              <w:pStyle w:val="25"/>
              <w:bidi w:val="0"/>
              <w:rPr>
                <w:rFonts w:hint="eastAsia"/>
                <w:highlight w:val="none"/>
                <w:lang w:val="en-US" w:eastAsia="zh-CN"/>
              </w:rPr>
            </w:pPr>
            <w:r>
              <w:rPr>
                <w:rFonts w:hint="eastAsia"/>
                <w:highlight w:val="none"/>
                <w:lang w:val="en-US" w:eastAsia="zh-CN"/>
              </w:rPr>
              <w:t>7</w:t>
            </w:r>
          </w:p>
        </w:tc>
        <w:tc>
          <w:tcPr>
            <w:tcW w:w="1166" w:type="dxa"/>
            <w:tcBorders>
              <w:tl2br w:val="nil"/>
              <w:tr2bl w:val="nil"/>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43.75%</w:t>
            </w:r>
          </w:p>
        </w:tc>
        <w:tc>
          <w:tcPr>
            <w:tcW w:w="1166" w:type="dxa"/>
            <w:tcBorders>
              <w:tl2br w:val="nil"/>
              <w:tr2bl w:val="nil"/>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11</w:t>
            </w:r>
          </w:p>
        </w:tc>
        <w:tc>
          <w:tcPr>
            <w:tcW w:w="1167" w:type="dxa"/>
            <w:tcBorders>
              <w:tl2br w:val="nil"/>
              <w:tr2bl w:val="nil"/>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68.75%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3" w:hRule="atLeast"/>
          <w:jc w:val="center"/>
        </w:trPr>
        <w:tc>
          <w:tcPr>
            <w:tcW w:w="1046" w:type="dxa"/>
            <w:tcBorders>
              <w:tl2br w:val="nil"/>
              <w:tr2bl w:val="nil"/>
            </w:tcBorders>
            <w:shd w:val="clear" w:color="auto" w:fill="FFFFFF"/>
            <w:noWrap w:val="0"/>
            <w:tcMar>
              <w:top w:w="12" w:type="dxa"/>
              <w:left w:w="12" w:type="dxa"/>
              <w:right w:w="12" w:type="dxa"/>
            </w:tcMar>
            <w:vAlign w:val="center"/>
          </w:tcPr>
          <w:p>
            <w:pPr>
              <w:pStyle w:val="25"/>
              <w:bidi w:val="0"/>
              <w:rPr>
                <w:rFonts w:hint="eastAsia"/>
                <w:highlight w:val="none"/>
                <w:lang w:val="en-US" w:eastAsia="zh-CN"/>
              </w:rPr>
            </w:pPr>
            <w:r>
              <w:rPr>
                <w:rFonts w:hint="eastAsia"/>
                <w:lang w:val="en-US" w:eastAsia="zh-CN"/>
              </w:rPr>
              <w:t>爱国村</w:t>
            </w:r>
          </w:p>
        </w:tc>
        <w:tc>
          <w:tcPr>
            <w:tcW w:w="1267" w:type="dxa"/>
            <w:tcBorders>
              <w:tl2br w:val="nil"/>
              <w:tr2bl w:val="nil"/>
            </w:tcBorders>
            <w:shd w:val="clear" w:color="auto" w:fill="FFFFFF"/>
            <w:noWrap w:val="0"/>
            <w:tcMar>
              <w:top w:w="12" w:type="dxa"/>
              <w:left w:w="12" w:type="dxa"/>
              <w:right w:w="12" w:type="dxa"/>
            </w:tcMar>
            <w:vAlign w:val="center"/>
          </w:tcPr>
          <w:p>
            <w:pPr>
              <w:pStyle w:val="25"/>
              <w:bidi w:val="0"/>
              <w:rPr>
                <w:rFonts w:hint="eastAsia"/>
                <w:highlight w:val="none"/>
                <w:lang w:val="en-US" w:eastAsia="zh-CN"/>
              </w:rPr>
            </w:pPr>
            <w:r>
              <w:rPr>
                <w:rFonts w:hint="eastAsia"/>
                <w:lang w:val="en-US" w:eastAsia="zh-CN"/>
              </w:rPr>
              <w:t>2队</w:t>
            </w:r>
          </w:p>
        </w:tc>
        <w:tc>
          <w:tcPr>
            <w:tcW w:w="893" w:type="dxa"/>
            <w:tcBorders>
              <w:tl2br w:val="nil"/>
              <w:tr2bl w:val="nil"/>
            </w:tcBorders>
            <w:shd w:val="clear" w:color="auto" w:fill="FFFFFF"/>
            <w:noWrap w:val="0"/>
            <w:tcMar>
              <w:top w:w="12" w:type="dxa"/>
              <w:left w:w="12" w:type="dxa"/>
              <w:right w:w="12" w:type="dxa"/>
            </w:tcMar>
            <w:vAlign w:val="center"/>
          </w:tcPr>
          <w:p>
            <w:pPr>
              <w:pStyle w:val="25"/>
              <w:bidi w:val="0"/>
              <w:rPr>
                <w:rFonts w:hint="default"/>
                <w:lang w:val="en-US" w:eastAsia="zh-CN"/>
              </w:rPr>
            </w:pPr>
            <w:r>
              <w:rPr>
                <w:rFonts w:hint="eastAsia"/>
                <w:lang w:val="en-US" w:eastAsia="zh-CN"/>
              </w:rPr>
              <w:t>46</w:t>
            </w:r>
          </w:p>
        </w:tc>
        <w:tc>
          <w:tcPr>
            <w:tcW w:w="1166" w:type="dxa"/>
            <w:tcBorders>
              <w:tl2br w:val="nil"/>
              <w:tr2bl w:val="nil"/>
            </w:tcBorders>
            <w:shd w:val="clear" w:color="auto" w:fill="FFFFFF"/>
            <w:noWrap w:val="0"/>
            <w:tcMar>
              <w:top w:w="12" w:type="dxa"/>
              <w:left w:w="12" w:type="dxa"/>
              <w:right w:w="12" w:type="dxa"/>
            </w:tcMar>
            <w:vAlign w:val="center"/>
          </w:tcPr>
          <w:p>
            <w:pPr>
              <w:pStyle w:val="25"/>
              <w:bidi w:val="0"/>
              <w:rPr>
                <w:rFonts w:hint="eastAsia"/>
                <w:highlight w:val="none"/>
                <w:lang w:val="en-US" w:eastAsia="zh-CN"/>
              </w:rPr>
            </w:pPr>
            <w:r>
              <w:rPr>
                <w:rFonts w:hint="eastAsia"/>
                <w:highlight w:val="none"/>
                <w:lang w:val="en-US" w:eastAsia="zh-CN"/>
              </w:rPr>
              <w:t>15</w:t>
            </w:r>
          </w:p>
        </w:tc>
        <w:tc>
          <w:tcPr>
            <w:tcW w:w="1166" w:type="dxa"/>
            <w:tcBorders>
              <w:tl2br w:val="nil"/>
              <w:tr2bl w:val="nil"/>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32.61%</w:t>
            </w:r>
          </w:p>
        </w:tc>
        <w:tc>
          <w:tcPr>
            <w:tcW w:w="1166" w:type="dxa"/>
            <w:tcBorders>
              <w:tl2br w:val="nil"/>
              <w:tr2bl w:val="nil"/>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color w:val="000000"/>
                <w:kern w:val="0"/>
                <w:sz w:val="24"/>
                <w:szCs w:val="24"/>
                <w:highlight w:val="none"/>
                <w:u w:val="none"/>
                <w:lang w:val="en-US" w:eastAsia="zh-CN" w:bidi="ar"/>
              </w:rPr>
            </w:pPr>
            <w:r>
              <w:rPr>
                <w:rFonts w:hint="eastAsia" w:ascii="宋体" w:hAnsi="宋体" w:eastAsia="宋体" w:cs="宋体"/>
                <w:i w:val="0"/>
                <w:color w:val="000000"/>
                <w:kern w:val="0"/>
                <w:sz w:val="24"/>
                <w:szCs w:val="24"/>
                <w:u w:val="none"/>
                <w:lang w:val="en-US" w:eastAsia="zh-CN" w:bidi="ar"/>
              </w:rPr>
              <w:t>11</w:t>
            </w:r>
          </w:p>
        </w:tc>
        <w:tc>
          <w:tcPr>
            <w:tcW w:w="1167" w:type="dxa"/>
            <w:tcBorders>
              <w:tl2br w:val="nil"/>
              <w:tr2bl w:val="nil"/>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23.91%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FFFFFF"/>
          <w:tblCellMar>
            <w:top w:w="0" w:type="dxa"/>
            <w:left w:w="0" w:type="dxa"/>
            <w:bottom w:w="0" w:type="dxa"/>
            <w:right w:w="0" w:type="dxa"/>
          </w:tblCellMar>
        </w:tblPrEx>
        <w:trPr>
          <w:trHeight w:val="303" w:hRule="atLeast"/>
          <w:jc w:val="center"/>
        </w:trPr>
        <w:tc>
          <w:tcPr>
            <w:tcW w:w="1046" w:type="dxa"/>
            <w:tcBorders>
              <w:tl2br w:val="nil"/>
              <w:tr2bl w:val="nil"/>
            </w:tcBorders>
            <w:shd w:val="clear" w:color="auto" w:fill="FFFFFF"/>
            <w:noWrap w:val="0"/>
            <w:tcMar>
              <w:top w:w="12" w:type="dxa"/>
              <w:left w:w="12" w:type="dxa"/>
              <w:right w:w="12" w:type="dxa"/>
            </w:tcMar>
            <w:vAlign w:val="center"/>
          </w:tcPr>
          <w:p>
            <w:pPr>
              <w:pStyle w:val="25"/>
              <w:bidi w:val="0"/>
              <w:rPr>
                <w:rFonts w:hint="eastAsia"/>
                <w:highlight w:val="none"/>
                <w:lang w:val="en-US" w:eastAsia="zh-CN"/>
              </w:rPr>
            </w:pPr>
            <w:r>
              <w:rPr>
                <w:rFonts w:hint="eastAsia"/>
                <w:lang w:val="en-US" w:eastAsia="zh-CN"/>
              </w:rPr>
              <w:t>曙光村</w:t>
            </w:r>
          </w:p>
        </w:tc>
        <w:tc>
          <w:tcPr>
            <w:tcW w:w="1267" w:type="dxa"/>
            <w:tcBorders>
              <w:tl2br w:val="nil"/>
              <w:tr2bl w:val="nil"/>
            </w:tcBorders>
            <w:shd w:val="clear" w:color="auto" w:fill="FFFFFF"/>
            <w:noWrap w:val="0"/>
            <w:tcMar>
              <w:top w:w="12" w:type="dxa"/>
              <w:left w:w="12" w:type="dxa"/>
              <w:right w:w="12" w:type="dxa"/>
            </w:tcMar>
            <w:vAlign w:val="center"/>
          </w:tcPr>
          <w:p>
            <w:pPr>
              <w:pStyle w:val="25"/>
              <w:bidi w:val="0"/>
              <w:rPr>
                <w:rFonts w:hint="eastAsia"/>
                <w:highlight w:val="none"/>
                <w:lang w:val="en-US" w:eastAsia="zh-CN"/>
              </w:rPr>
            </w:pPr>
            <w:r>
              <w:rPr>
                <w:rFonts w:hint="eastAsia"/>
                <w:lang w:val="en-US" w:eastAsia="zh-CN"/>
              </w:rPr>
              <w:t>1队</w:t>
            </w:r>
          </w:p>
        </w:tc>
        <w:tc>
          <w:tcPr>
            <w:tcW w:w="893" w:type="dxa"/>
            <w:tcBorders>
              <w:tl2br w:val="nil"/>
              <w:tr2bl w:val="nil"/>
            </w:tcBorders>
            <w:shd w:val="clear" w:color="auto" w:fill="FFFFFF"/>
            <w:noWrap w:val="0"/>
            <w:tcMar>
              <w:top w:w="12" w:type="dxa"/>
              <w:left w:w="12" w:type="dxa"/>
              <w:right w:w="12" w:type="dxa"/>
            </w:tcMar>
            <w:vAlign w:val="center"/>
          </w:tcPr>
          <w:p>
            <w:pPr>
              <w:pStyle w:val="25"/>
              <w:bidi w:val="0"/>
              <w:rPr>
                <w:rFonts w:hint="default"/>
                <w:lang w:val="en-US" w:eastAsia="zh-CN"/>
              </w:rPr>
            </w:pPr>
            <w:r>
              <w:rPr>
                <w:rFonts w:hint="eastAsia"/>
                <w:lang w:val="en-US" w:eastAsia="zh-CN"/>
              </w:rPr>
              <w:t>33</w:t>
            </w:r>
          </w:p>
        </w:tc>
        <w:tc>
          <w:tcPr>
            <w:tcW w:w="1166" w:type="dxa"/>
            <w:tcBorders>
              <w:tl2br w:val="nil"/>
              <w:tr2bl w:val="nil"/>
            </w:tcBorders>
            <w:shd w:val="clear" w:color="auto" w:fill="FFFFFF"/>
            <w:noWrap w:val="0"/>
            <w:tcMar>
              <w:top w:w="12" w:type="dxa"/>
              <w:left w:w="12" w:type="dxa"/>
              <w:right w:w="12" w:type="dxa"/>
            </w:tcMar>
            <w:vAlign w:val="center"/>
          </w:tcPr>
          <w:p>
            <w:pPr>
              <w:pStyle w:val="25"/>
              <w:bidi w:val="0"/>
              <w:rPr>
                <w:rFonts w:hint="eastAsia"/>
                <w:highlight w:val="none"/>
                <w:lang w:val="en-US" w:eastAsia="zh-CN"/>
              </w:rPr>
            </w:pPr>
            <w:r>
              <w:rPr>
                <w:rFonts w:hint="eastAsia"/>
                <w:highlight w:val="none"/>
                <w:lang w:val="en-US" w:eastAsia="zh-CN"/>
              </w:rPr>
              <w:t>1</w:t>
            </w:r>
          </w:p>
        </w:tc>
        <w:tc>
          <w:tcPr>
            <w:tcW w:w="1166" w:type="dxa"/>
            <w:tcBorders>
              <w:tl2br w:val="nil"/>
              <w:tr2bl w:val="nil"/>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3.03%</w:t>
            </w:r>
          </w:p>
        </w:tc>
        <w:tc>
          <w:tcPr>
            <w:tcW w:w="1166" w:type="dxa"/>
            <w:tcBorders>
              <w:tl2br w:val="nil"/>
              <w:tr2bl w:val="nil"/>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8</w:t>
            </w:r>
          </w:p>
        </w:tc>
        <w:tc>
          <w:tcPr>
            <w:tcW w:w="1167" w:type="dxa"/>
            <w:tcBorders>
              <w:tl2br w:val="nil"/>
              <w:tr2bl w:val="nil"/>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24.24%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3" w:hRule="atLeast"/>
          <w:jc w:val="center"/>
        </w:trPr>
        <w:tc>
          <w:tcPr>
            <w:tcW w:w="1046" w:type="dxa"/>
            <w:tcBorders>
              <w:tl2br w:val="nil"/>
              <w:tr2bl w:val="nil"/>
            </w:tcBorders>
            <w:shd w:val="clear" w:color="auto" w:fill="FFFFFF"/>
            <w:noWrap w:val="0"/>
            <w:tcMar>
              <w:top w:w="12" w:type="dxa"/>
              <w:left w:w="12" w:type="dxa"/>
              <w:right w:w="12" w:type="dxa"/>
            </w:tcMar>
            <w:vAlign w:val="center"/>
          </w:tcPr>
          <w:p>
            <w:pPr>
              <w:pStyle w:val="25"/>
              <w:bidi w:val="0"/>
              <w:rPr>
                <w:rFonts w:hint="eastAsia" w:ascii="Times New Roman" w:hAnsi="Times New Roman" w:cs="Times New Roman"/>
                <w:kern w:val="0"/>
                <w:sz w:val="24"/>
                <w:szCs w:val="24"/>
                <w:highlight w:val="none"/>
                <w:lang w:val="en-US" w:eastAsia="zh-CN"/>
              </w:rPr>
            </w:pPr>
            <w:r>
              <w:rPr>
                <w:rFonts w:hint="eastAsia"/>
                <w:lang w:val="en-US" w:eastAsia="zh-CN"/>
              </w:rPr>
              <w:t>曙光村</w:t>
            </w:r>
          </w:p>
        </w:tc>
        <w:tc>
          <w:tcPr>
            <w:tcW w:w="1267" w:type="dxa"/>
            <w:tcBorders>
              <w:tl2br w:val="nil"/>
              <w:tr2bl w:val="nil"/>
            </w:tcBorders>
            <w:shd w:val="clear" w:color="auto" w:fill="FFFFFF"/>
            <w:noWrap w:val="0"/>
            <w:tcMar>
              <w:top w:w="12" w:type="dxa"/>
              <w:left w:w="12" w:type="dxa"/>
              <w:right w:w="12" w:type="dxa"/>
            </w:tcMar>
            <w:vAlign w:val="center"/>
          </w:tcPr>
          <w:p>
            <w:pPr>
              <w:pStyle w:val="25"/>
              <w:bidi w:val="0"/>
              <w:rPr>
                <w:rFonts w:hint="eastAsia" w:ascii="Times New Roman" w:hAnsi="Times New Roman" w:cs="Times New Roman"/>
                <w:kern w:val="0"/>
                <w:sz w:val="24"/>
                <w:szCs w:val="24"/>
                <w:highlight w:val="none"/>
              </w:rPr>
            </w:pPr>
            <w:r>
              <w:rPr>
                <w:rFonts w:hint="eastAsia"/>
                <w:lang w:val="en-US" w:eastAsia="zh-CN"/>
              </w:rPr>
              <w:t>2队</w:t>
            </w:r>
          </w:p>
        </w:tc>
        <w:tc>
          <w:tcPr>
            <w:tcW w:w="893" w:type="dxa"/>
            <w:tcBorders>
              <w:tl2br w:val="nil"/>
              <w:tr2bl w:val="nil"/>
            </w:tcBorders>
            <w:shd w:val="clear" w:color="auto" w:fill="FFFFFF"/>
            <w:noWrap w:val="0"/>
            <w:tcMar>
              <w:top w:w="12" w:type="dxa"/>
              <w:left w:w="12" w:type="dxa"/>
              <w:right w:w="12" w:type="dxa"/>
            </w:tcMar>
            <w:vAlign w:val="center"/>
          </w:tcPr>
          <w:p>
            <w:pPr>
              <w:pStyle w:val="25"/>
              <w:bidi w:val="0"/>
              <w:rPr>
                <w:rFonts w:hint="eastAsia"/>
                <w:lang w:val="en-US" w:eastAsia="zh-CN"/>
              </w:rPr>
            </w:pPr>
            <w:r>
              <w:rPr>
                <w:rFonts w:hint="eastAsia"/>
                <w:lang w:val="en-US" w:eastAsia="zh-CN"/>
              </w:rPr>
              <w:t>76</w:t>
            </w:r>
          </w:p>
        </w:tc>
        <w:tc>
          <w:tcPr>
            <w:tcW w:w="1166" w:type="dxa"/>
            <w:tcBorders>
              <w:tl2br w:val="nil"/>
              <w:tr2bl w:val="nil"/>
            </w:tcBorders>
            <w:shd w:val="clear" w:color="auto" w:fill="FFFFFF"/>
            <w:noWrap w:val="0"/>
            <w:tcMar>
              <w:top w:w="12" w:type="dxa"/>
              <w:left w:w="12" w:type="dxa"/>
              <w:right w:w="12" w:type="dxa"/>
            </w:tcMar>
            <w:vAlign w:val="center"/>
          </w:tcPr>
          <w:p>
            <w:pPr>
              <w:pStyle w:val="25"/>
              <w:bidi w:val="0"/>
              <w:rPr>
                <w:rFonts w:hint="eastAsia"/>
                <w:highlight w:val="none"/>
                <w:lang w:val="en-US" w:eastAsia="zh-CN"/>
              </w:rPr>
            </w:pPr>
            <w:r>
              <w:rPr>
                <w:rFonts w:hint="eastAsia"/>
                <w:highlight w:val="none"/>
                <w:lang w:val="en-US" w:eastAsia="zh-CN"/>
              </w:rPr>
              <w:t>9</w:t>
            </w:r>
          </w:p>
        </w:tc>
        <w:tc>
          <w:tcPr>
            <w:tcW w:w="1166" w:type="dxa"/>
            <w:tcBorders>
              <w:tl2br w:val="nil"/>
              <w:tr2bl w:val="nil"/>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11.84%</w:t>
            </w:r>
          </w:p>
        </w:tc>
        <w:tc>
          <w:tcPr>
            <w:tcW w:w="1166" w:type="dxa"/>
            <w:tcBorders>
              <w:tl2br w:val="nil"/>
              <w:tr2bl w:val="nil"/>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8</w:t>
            </w:r>
          </w:p>
        </w:tc>
        <w:tc>
          <w:tcPr>
            <w:tcW w:w="1167" w:type="dxa"/>
            <w:tcBorders>
              <w:tl2br w:val="nil"/>
              <w:tr2bl w:val="nil"/>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10.53%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FFFFFF"/>
          <w:tblCellMar>
            <w:top w:w="0" w:type="dxa"/>
            <w:left w:w="0" w:type="dxa"/>
            <w:bottom w:w="0" w:type="dxa"/>
            <w:right w:w="0" w:type="dxa"/>
          </w:tblCellMar>
        </w:tblPrEx>
        <w:trPr>
          <w:trHeight w:val="303" w:hRule="atLeast"/>
          <w:jc w:val="center"/>
        </w:trPr>
        <w:tc>
          <w:tcPr>
            <w:tcW w:w="1046" w:type="dxa"/>
            <w:tcBorders>
              <w:tl2br w:val="nil"/>
              <w:tr2bl w:val="nil"/>
            </w:tcBorders>
            <w:shd w:val="clear" w:color="auto" w:fill="FFFFFF"/>
            <w:noWrap w:val="0"/>
            <w:tcMar>
              <w:top w:w="12" w:type="dxa"/>
              <w:left w:w="12" w:type="dxa"/>
              <w:right w:w="12" w:type="dxa"/>
            </w:tcMar>
            <w:vAlign w:val="center"/>
          </w:tcPr>
          <w:p>
            <w:pPr>
              <w:pStyle w:val="25"/>
              <w:bidi w:val="0"/>
              <w:rPr>
                <w:rFonts w:hint="eastAsia" w:ascii="Times New Roman" w:hAnsi="Times New Roman" w:cs="Times New Roman"/>
                <w:kern w:val="0"/>
                <w:sz w:val="24"/>
                <w:szCs w:val="24"/>
                <w:highlight w:val="none"/>
                <w:lang w:val="en-US" w:eastAsia="zh-CN"/>
              </w:rPr>
            </w:pPr>
            <w:r>
              <w:rPr>
                <w:rFonts w:hint="eastAsia"/>
                <w:lang w:val="en-US" w:eastAsia="zh-CN"/>
              </w:rPr>
              <w:t>曙光村</w:t>
            </w:r>
          </w:p>
        </w:tc>
        <w:tc>
          <w:tcPr>
            <w:tcW w:w="1267" w:type="dxa"/>
            <w:tcBorders>
              <w:tl2br w:val="nil"/>
              <w:tr2bl w:val="nil"/>
            </w:tcBorders>
            <w:shd w:val="clear" w:color="auto" w:fill="FFFFFF"/>
            <w:noWrap w:val="0"/>
            <w:tcMar>
              <w:top w:w="12" w:type="dxa"/>
              <w:left w:w="12" w:type="dxa"/>
              <w:right w:w="12" w:type="dxa"/>
            </w:tcMar>
            <w:vAlign w:val="center"/>
          </w:tcPr>
          <w:p>
            <w:pPr>
              <w:pStyle w:val="25"/>
              <w:bidi w:val="0"/>
              <w:rPr>
                <w:rFonts w:hint="eastAsia" w:ascii="Times New Roman" w:hAnsi="Times New Roman" w:cs="Times New Roman"/>
                <w:kern w:val="0"/>
                <w:sz w:val="24"/>
                <w:szCs w:val="24"/>
                <w:highlight w:val="none"/>
              </w:rPr>
            </w:pPr>
            <w:r>
              <w:rPr>
                <w:rFonts w:hint="eastAsia"/>
                <w:lang w:val="en-US" w:eastAsia="zh-CN"/>
              </w:rPr>
              <w:t>3队</w:t>
            </w:r>
          </w:p>
        </w:tc>
        <w:tc>
          <w:tcPr>
            <w:tcW w:w="893" w:type="dxa"/>
            <w:tcBorders>
              <w:tl2br w:val="nil"/>
              <w:tr2bl w:val="nil"/>
            </w:tcBorders>
            <w:shd w:val="clear" w:color="auto" w:fill="FFFFFF"/>
            <w:noWrap w:val="0"/>
            <w:tcMar>
              <w:top w:w="12" w:type="dxa"/>
              <w:left w:w="12" w:type="dxa"/>
              <w:right w:w="12" w:type="dxa"/>
            </w:tcMar>
            <w:vAlign w:val="center"/>
          </w:tcPr>
          <w:p>
            <w:pPr>
              <w:pStyle w:val="25"/>
              <w:bidi w:val="0"/>
              <w:rPr>
                <w:rFonts w:hint="eastAsia"/>
                <w:lang w:val="en-US" w:eastAsia="zh-CN"/>
              </w:rPr>
            </w:pPr>
            <w:r>
              <w:rPr>
                <w:rFonts w:hint="eastAsia"/>
                <w:lang w:val="en-US" w:eastAsia="zh-CN"/>
              </w:rPr>
              <w:t>38</w:t>
            </w:r>
          </w:p>
        </w:tc>
        <w:tc>
          <w:tcPr>
            <w:tcW w:w="1166" w:type="dxa"/>
            <w:tcBorders>
              <w:tl2br w:val="nil"/>
              <w:tr2bl w:val="nil"/>
            </w:tcBorders>
            <w:shd w:val="clear" w:color="auto" w:fill="FFFFFF"/>
            <w:noWrap w:val="0"/>
            <w:tcMar>
              <w:top w:w="12" w:type="dxa"/>
              <w:left w:w="12" w:type="dxa"/>
              <w:right w:w="12" w:type="dxa"/>
            </w:tcMar>
            <w:vAlign w:val="center"/>
          </w:tcPr>
          <w:p>
            <w:pPr>
              <w:pStyle w:val="25"/>
              <w:bidi w:val="0"/>
              <w:rPr>
                <w:rFonts w:hint="eastAsia"/>
                <w:highlight w:val="none"/>
                <w:lang w:val="en-US" w:eastAsia="zh-CN"/>
              </w:rPr>
            </w:pPr>
            <w:r>
              <w:rPr>
                <w:rFonts w:hint="eastAsia"/>
                <w:highlight w:val="none"/>
                <w:lang w:val="en-US" w:eastAsia="zh-CN"/>
              </w:rPr>
              <w:t>5</w:t>
            </w:r>
          </w:p>
        </w:tc>
        <w:tc>
          <w:tcPr>
            <w:tcW w:w="1166" w:type="dxa"/>
            <w:tcBorders>
              <w:tl2br w:val="nil"/>
              <w:tr2bl w:val="nil"/>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13.16%</w:t>
            </w:r>
          </w:p>
        </w:tc>
        <w:tc>
          <w:tcPr>
            <w:tcW w:w="1166" w:type="dxa"/>
            <w:tcBorders>
              <w:tl2br w:val="nil"/>
              <w:tr2bl w:val="nil"/>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3</w:t>
            </w:r>
          </w:p>
        </w:tc>
        <w:tc>
          <w:tcPr>
            <w:tcW w:w="1167" w:type="dxa"/>
            <w:tcBorders>
              <w:tl2br w:val="nil"/>
              <w:tr2bl w:val="nil"/>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7.89%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3" w:hRule="atLeast"/>
          <w:jc w:val="center"/>
        </w:trPr>
        <w:tc>
          <w:tcPr>
            <w:tcW w:w="1046" w:type="dxa"/>
            <w:tcBorders>
              <w:tl2br w:val="nil"/>
              <w:tr2bl w:val="nil"/>
            </w:tcBorders>
            <w:shd w:val="clear" w:color="auto" w:fill="FFFFFF"/>
            <w:noWrap w:val="0"/>
            <w:tcMar>
              <w:top w:w="12" w:type="dxa"/>
              <w:left w:w="12" w:type="dxa"/>
              <w:right w:w="12" w:type="dxa"/>
            </w:tcMar>
            <w:vAlign w:val="center"/>
          </w:tcPr>
          <w:p>
            <w:pPr>
              <w:pStyle w:val="25"/>
              <w:bidi w:val="0"/>
              <w:rPr>
                <w:rFonts w:hint="eastAsia" w:ascii="Times New Roman" w:hAnsi="Times New Roman" w:cs="Times New Roman"/>
                <w:kern w:val="0"/>
                <w:sz w:val="24"/>
                <w:szCs w:val="24"/>
                <w:highlight w:val="none"/>
                <w:lang w:val="en-US" w:eastAsia="zh-CN"/>
              </w:rPr>
            </w:pPr>
            <w:r>
              <w:rPr>
                <w:rFonts w:hint="eastAsia"/>
                <w:lang w:val="en-US" w:eastAsia="zh-CN"/>
              </w:rPr>
              <w:t>曙光村</w:t>
            </w:r>
          </w:p>
        </w:tc>
        <w:tc>
          <w:tcPr>
            <w:tcW w:w="1267" w:type="dxa"/>
            <w:tcBorders>
              <w:tl2br w:val="nil"/>
              <w:tr2bl w:val="nil"/>
            </w:tcBorders>
            <w:shd w:val="clear" w:color="auto" w:fill="FFFFFF"/>
            <w:noWrap w:val="0"/>
            <w:tcMar>
              <w:top w:w="12" w:type="dxa"/>
              <w:left w:w="12" w:type="dxa"/>
              <w:right w:w="12" w:type="dxa"/>
            </w:tcMar>
            <w:vAlign w:val="center"/>
          </w:tcPr>
          <w:p>
            <w:pPr>
              <w:pStyle w:val="25"/>
              <w:bidi w:val="0"/>
              <w:rPr>
                <w:rFonts w:hint="eastAsia" w:ascii="Times New Roman" w:hAnsi="Times New Roman" w:cs="Times New Roman"/>
                <w:kern w:val="0"/>
                <w:sz w:val="24"/>
                <w:szCs w:val="24"/>
                <w:highlight w:val="none"/>
              </w:rPr>
            </w:pPr>
            <w:r>
              <w:rPr>
                <w:rFonts w:hint="eastAsia"/>
                <w:lang w:val="en-US" w:eastAsia="zh-CN"/>
              </w:rPr>
              <w:t>4队</w:t>
            </w:r>
          </w:p>
        </w:tc>
        <w:tc>
          <w:tcPr>
            <w:tcW w:w="893" w:type="dxa"/>
            <w:tcBorders>
              <w:tl2br w:val="nil"/>
              <w:tr2bl w:val="nil"/>
            </w:tcBorders>
            <w:shd w:val="clear" w:color="auto" w:fill="FFFFFF"/>
            <w:noWrap w:val="0"/>
            <w:tcMar>
              <w:top w:w="12" w:type="dxa"/>
              <w:left w:w="12" w:type="dxa"/>
              <w:right w:w="12" w:type="dxa"/>
            </w:tcMar>
            <w:vAlign w:val="center"/>
          </w:tcPr>
          <w:p>
            <w:pPr>
              <w:pStyle w:val="25"/>
              <w:bidi w:val="0"/>
              <w:rPr>
                <w:rFonts w:hint="eastAsia"/>
                <w:lang w:val="en-US" w:eastAsia="zh-CN"/>
              </w:rPr>
            </w:pPr>
            <w:r>
              <w:rPr>
                <w:rFonts w:hint="eastAsia"/>
                <w:lang w:val="en-US" w:eastAsia="zh-CN"/>
              </w:rPr>
              <w:t>42</w:t>
            </w:r>
          </w:p>
        </w:tc>
        <w:tc>
          <w:tcPr>
            <w:tcW w:w="1166" w:type="dxa"/>
            <w:tcBorders>
              <w:tl2br w:val="nil"/>
              <w:tr2bl w:val="nil"/>
            </w:tcBorders>
            <w:shd w:val="clear" w:color="auto" w:fill="FFFFFF"/>
            <w:noWrap w:val="0"/>
            <w:tcMar>
              <w:top w:w="12" w:type="dxa"/>
              <w:left w:w="12" w:type="dxa"/>
              <w:right w:w="12" w:type="dxa"/>
            </w:tcMar>
            <w:vAlign w:val="center"/>
          </w:tcPr>
          <w:p>
            <w:pPr>
              <w:pStyle w:val="25"/>
              <w:bidi w:val="0"/>
              <w:rPr>
                <w:rFonts w:hint="eastAsia"/>
                <w:highlight w:val="none"/>
                <w:lang w:val="en-US" w:eastAsia="zh-CN"/>
              </w:rPr>
            </w:pPr>
            <w:r>
              <w:rPr>
                <w:rFonts w:hint="eastAsia"/>
                <w:highlight w:val="none"/>
                <w:lang w:val="en-US" w:eastAsia="zh-CN"/>
              </w:rPr>
              <w:t>6</w:t>
            </w:r>
          </w:p>
        </w:tc>
        <w:tc>
          <w:tcPr>
            <w:tcW w:w="1166" w:type="dxa"/>
            <w:tcBorders>
              <w:tl2br w:val="nil"/>
              <w:tr2bl w:val="nil"/>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14.29%</w:t>
            </w:r>
          </w:p>
        </w:tc>
        <w:tc>
          <w:tcPr>
            <w:tcW w:w="1166" w:type="dxa"/>
            <w:tcBorders>
              <w:tl2br w:val="nil"/>
              <w:tr2bl w:val="nil"/>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2</w:t>
            </w:r>
          </w:p>
        </w:tc>
        <w:tc>
          <w:tcPr>
            <w:tcW w:w="1167" w:type="dxa"/>
            <w:tcBorders>
              <w:tl2br w:val="nil"/>
              <w:tr2bl w:val="nil"/>
            </w:tcBorders>
            <w:shd w:val="clear" w:color="auto" w:fill="FFFFFF"/>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4.76%</w:t>
            </w:r>
          </w:p>
        </w:tc>
      </w:tr>
    </w:tbl>
    <w:p>
      <w:pPr>
        <w:pStyle w:val="7"/>
      </w:pPr>
      <w:r>
        <w:rPr>
          <w:rFonts w:hint="eastAsia"/>
        </w:rPr>
        <w:t>3.1.4农村生活污水处理设施建设和运行现状</w:t>
      </w:r>
    </w:p>
    <w:p>
      <w:pPr>
        <w:pStyle w:val="2"/>
        <w:ind w:firstLine="560"/>
        <w:rPr>
          <w:rFonts w:hint="eastAsia"/>
        </w:rPr>
      </w:pPr>
      <w:r>
        <w:rPr>
          <w:rFonts w:hint="eastAsia"/>
          <w:lang w:val="en-US" w:eastAsia="zh-CN"/>
        </w:rPr>
        <w:t>目前，友好区大</w:t>
      </w:r>
      <w:r>
        <w:rPr>
          <w:rFonts w:hint="eastAsia"/>
        </w:rPr>
        <w:t>村屯建设地面硬化排水沟，用以排放雨水，村民生活污水通过倾倒的方式排入排水沟。</w:t>
      </w:r>
    </w:p>
    <w:p>
      <w:pPr>
        <w:pStyle w:val="2"/>
        <w:ind w:firstLine="560"/>
        <w:rPr>
          <w:rFonts w:hint="eastAsia"/>
        </w:rPr>
      </w:pPr>
      <w:r>
        <w:rPr>
          <w:rFonts w:hint="eastAsia"/>
        </w:rPr>
        <w:t>目前存在以下几点问题：</w:t>
      </w:r>
    </w:p>
    <w:p>
      <w:pPr>
        <w:pStyle w:val="2"/>
        <w:ind w:firstLine="560"/>
        <w:rPr>
          <w:rFonts w:hint="eastAsia"/>
        </w:rPr>
      </w:pPr>
      <w:r>
        <w:rPr>
          <w:rFonts w:hint="eastAsia"/>
        </w:rPr>
        <w:t>（1）基础设施薄弱，生活污水处置不规范</w:t>
      </w:r>
    </w:p>
    <w:p>
      <w:pPr>
        <w:pStyle w:val="2"/>
        <w:ind w:firstLine="560"/>
        <w:rPr>
          <w:rFonts w:hint="eastAsia"/>
        </w:rPr>
      </w:pPr>
      <w:r>
        <w:rPr>
          <w:rFonts w:hint="eastAsia"/>
        </w:rPr>
        <w:t>目前</w:t>
      </w:r>
      <w:r>
        <w:rPr>
          <w:rFonts w:hint="eastAsia"/>
          <w:lang w:val="en-US" w:eastAsia="zh-CN"/>
        </w:rPr>
        <w:t>友好区</w:t>
      </w:r>
      <w:r>
        <w:rPr>
          <w:rFonts w:hint="eastAsia"/>
        </w:rPr>
        <w:t>村</w:t>
      </w:r>
      <w:r>
        <w:rPr>
          <w:rFonts w:hint="eastAsia"/>
          <w:lang w:val="en-US" w:eastAsia="zh-CN"/>
        </w:rPr>
        <w:t>屯</w:t>
      </w:r>
      <w:r>
        <w:rPr>
          <w:rFonts w:hint="eastAsia"/>
        </w:rPr>
        <w:t>均无生活污水管网、生活污水处置设施，村屯内居民大多将污水直接泼洒在地面或倾倒至排水沟，未经处理的生活污水自流到地势低洼的河流、池塘等地表水体中，严重污染水源，影响生态和人居环境。</w:t>
      </w:r>
    </w:p>
    <w:p>
      <w:pPr>
        <w:pStyle w:val="2"/>
        <w:ind w:firstLine="560"/>
        <w:rPr>
          <w:rFonts w:hint="eastAsia"/>
        </w:rPr>
      </w:pPr>
      <w:r>
        <w:rPr>
          <w:rFonts w:hint="eastAsia"/>
        </w:rPr>
        <w:t>（2）环保意识淡薄，水的资源化利用率不高</w:t>
      </w:r>
    </w:p>
    <w:p>
      <w:pPr>
        <w:pStyle w:val="2"/>
        <w:ind w:firstLine="560"/>
        <w:rPr>
          <w:rFonts w:hint="eastAsia"/>
        </w:rPr>
      </w:pPr>
      <w:r>
        <w:rPr>
          <w:rFonts w:hint="eastAsia"/>
        </w:rPr>
        <w:t>部分村一级干部和村民重视程度不够，认识不到农村生活污水污染与水源地保护的关联性及农村污水处理的重要性，因而对农村污水收集与处理不够积极。</w:t>
      </w:r>
    </w:p>
    <w:p>
      <w:pPr>
        <w:pStyle w:val="2"/>
        <w:ind w:firstLine="560"/>
        <w:rPr>
          <w:rFonts w:hint="eastAsia"/>
        </w:rPr>
      </w:pPr>
      <w:r>
        <w:rPr>
          <w:rFonts w:hint="eastAsia"/>
        </w:rPr>
        <w:t>大多村民未采用水的梯级利用、资源化利用等方式减少生活污水产生量，导致大量生活污水外排，污染环境。</w:t>
      </w:r>
    </w:p>
    <w:p>
      <w:pPr>
        <w:pStyle w:val="2"/>
        <w:ind w:firstLine="560"/>
        <w:rPr>
          <w:rFonts w:hint="eastAsia"/>
        </w:rPr>
      </w:pPr>
      <w:r>
        <w:rPr>
          <w:rFonts w:hint="eastAsia"/>
        </w:rPr>
        <w:t>（3）专项资金缺乏，工程实施进度缓慢</w:t>
      </w:r>
    </w:p>
    <w:p>
      <w:pPr>
        <w:pStyle w:val="2"/>
        <w:ind w:firstLine="560"/>
        <w:rPr>
          <w:rFonts w:hint="eastAsia"/>
        </w:rPr>
      </w:pPr>
      <w:r>
        <w:rPr>
          <w:rFonts w:hint="eastAsia"/>
        </w:rPr>
        <w:t>生活污水处理工程的建设、运行、维护等费用投入较高，需要大量的财政资金投入，而大部分行政村经济薄弱，财政补助有限，无法承担此项开支。随着物价、人工工资的飞涨，镇、村级政府无力承担生活污水收集处理工程的建设、运行的全部费用，导致全面开展农村生活污水收集治理难度较大。</w:t>
      </w:r>
    </w:p>
    <w:p>
      <w:pPr>
        <w:pStyle w:val="7"/>
        <w:outlineLvl w:val="1"/>
        <w:rPr>
          <w:rFonts w:hint="eastAsia"/>
        </w:rPr>
      </w:pPr>
      <w:bookmarkStart w:id="141" w:name="_Toc23669"/>
      <w:bookmarkStart w:id="142" w:name="_Toc26230"/>
      <w:bookmarkStart w:id="143" w:name="_Toc21377"/>
      <w:bookmarkStart w:id="144" w:name="_Toc4872_WPSOffice_Level2"/>
      <w:bookmarkStart w:id="145" w:name="_Toc24219_WPSOffice_Level2"/>
      <w:bookmarkStart w:id="146" w:name="_Toc15765"/>
      <w:r>
        <w:rPr>
          <w:rFonts w:hint="eastAsia"/>
        </w:rPr>
        <w:t>3.2水质水量预测</w:t>
      </w:r>
      <w:bookmarkEnd w:id="141"/>
      <w:bookmarkEnd w:id="142"/>
      <w:bookmarkEnd w:id="143"/>
      <w:bookmarkEnd w:id="144"/>
      <w:bookmarkEnd w:id="145"/>
      <w:bookmarkEnd w:id="146"/>
    </w:p>
    <w:p>
      <w:pPr>
        <w:pStyle w:val="7"/>
        <w:rPr>
          <w:rFonts w:hint="default" w:eastAsia="宋体"/>
          <w:lang w:val="en-US" w:eastAsia="zh-CN"/>
        </w:rPr>
      </w:pPr>
      <w:r>
        <w:rPr>
          <w:rFonts w:hint="eastAsia"/>
          <w:lang w:val="en-US" w:eastAsia="zh-CN"/>
        </w:rPr>
        <w:t>3.2.1人口预测</w:t>
      </w:r>
    </w:p>
    <w:p>
      <w:pPr>
        <w:pStyle w:val="2"/>
        <w:bidi w:val="0"/>
        <w:rPr>
          <w:rFonts w:hint="eastAsia"/>
          <w:lang w:val="en-US" w:eastAsia="zh-CN"/>
        </w:rPr>
      </w:pPr>
      <w:r>
        <w:rPr>
          <w:rFonts w:hint="eastAsia"/>
          <w:lang w:val="en-US" w:eastAsia="zh-CN"/>
        </w:rPr>
        <w:t>根据</w:t>
      </w:r>
      <w:r>
        <w:rPr>
          <w:rFonts w:hint="eastAsia"/>
          <w:lang w:eastAsia="zh-CN"/>
        </w:rPr>
        <w:t>《</w:t>
      </w:r>
      <w:r>
        <w:rPr>
          <w:rFonts w:hint="eastAsia"/>
        </w:rPr>
        <w:t>黑龙江省城镇污水处理设施布局规划（2019-2035）</w:t>
      </w:r>
      <w:r>
        <w:rPr>
          <w:rFonts w:hint="eastAsia"/>
          <w:lang w:eastAsia="zh-CN"/>
        </w:rPr>
        <w:t>》</w:t>
      </w:r>
      <w:r>
        <w:rPr>
          <w:rFonts w:hint="eastAsia"/>
          <w:lang w:val="en-US" w:eastAsia="zh-CN"/>
        </w:rPr>
        <w:t>人口预测部分，伊春市友好区近期人口增长率为-0.014，远期增长率为-0.012。</w:t>
      </w:r>
    </w:p>
    <w:p>
      <w:pPr>
        <w:pStyle w:val="24"/>
        <w:bidi w:val="0"/>
        <w:rPr>
          <w:rFonts w:hint="eastAsia"/>
          <w:lang w:val="en-US" w:eastAsia="zh-CN"/>
        </w:rPr>
      </w:pPr>
      <w:r>
        <w:rPr>
          <w:rFonts w:hint="eastAsia"/>
          <w:lang w:val="en-US" w:eastAsia="zh-CN"/>
        </w:rPr>
        <w:t>表3-2  友好区人口预测</w:t>
      </w:r>
    </w:p>
    <w:tbl>
      <w:tblPr>
        <w:tblStyle w:val="41"/>
        <w:tblW w:w="9179"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16"/>
        <w:gridCol w:w="1857"/>
        <w:gridCol w:w="1960"/>
        <w:gridCol w:w="1920"/>
        <w:gridCol w:w="182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9" w:hRule="atLeast"/>
          <w:jc w:val="center"/>
        </w:trPr>
        <w:tc>
          <w:tcPr>
            <w:tcW w:w="1616" w:type="dxa"/>
            <w:tcBorders>
              <w:tl2br w:val="nil"/>
              <w:tr2bl w:val="nil"/>
            </w:tcBorders>
            <w:shd w:val="clear" w:color="auto" w:fill="FFFFFF"/>
            <w:noWrap w:val="0"/>
            <w:tcMar>
              <w:top w:w="12" w:type="dxa"/>
              <w:left w:w="12" w:type="dxa"/>
              <w:right w:w="12" w:type="dxa"/>
            </w:tcMar>
            <w:vAlign w:val="center"/>
          </w:tcPr>
          <w:p>
            <w:pPr>
              <w:pStyle w:val="25"/>
              <w:bidi w:val="0"/>
              <w:rPr>
                <w:rFonts w:hint="default"/>
                <w:lang w:val="en-US" w:eastAsia="zh-CN"/>
              </w:rPr>
            </w:pPr>
            <w:r>
              <w:rPr>
                <w:rFonts w:hint="eastAsia"/>
                <w:lang w:val="en-US" w:eastAsia="zh-CN"/>
              </w:rPr>
              <w:t>行政村</w:t>
            </w:r>
          </w:p>
        </w:tc>
        <w:tc>
          <w:tcPr>
            <w:tcW w:w="1857" w:type="dxa"/>
            <w:tcBorders>
              <w:tl2br w:val="nil"/>
              <w:tr2bl w:val="nil"/>
            </w:tcBorders>
            <w:shd w:val="clear" w:color="auto" w:fill="FFFFFF"/>
            <w:noWrap w:val="0"/>
            <w:tcMar>
              <w:top w:w="12" w:type="dxa"/>
              <w:left w:w="12" w:type="dxa"/>
              <w:right w:w="12" w:type="dxa"/>
            </w:tcMar>
            <w:vAlign w:val="center"/>
          </w:tcPr>
          <w:p>
            <w:pPr>
              <w:pStyle w:val="25"/>
              <w:bidi w:val="0"/>
              <w:rPr>
                <w:rFonts w:hint="default"/>
                <w:lang w:val="en-US" w:eastAsia="zh-CN"/>
              </w:rPr>
            </w:pPr>
            <w:r>
              <w:rPr>
                <w:rFonts w:hint="eastAsia"/>
                <w:lang w:val="en-US" w:eastAsia="zh-CN"/>
              </w:rPr>
              <w:t>自然屯</w:t>
            </w:r>
          </w:p>
        </w:tc>
        <w:tc>
          <w:tcPr>
            <w:tcW w:w="1960" w:type="dxa"/>
            <w:tcBorders>
              <w:tl2br w:val="nil"/>
              <w:tr2bl w:val="nil"/>
            </w:tcBorders>
            <w:noWrap/>
            <w:tcMar>
              <w:top w:w="12" w:type="dxa"/>
              <w:left w:w="12" w:type="dxa"/>
              <w:right w:w="12" w:type="dxa"/>
            </w:tcMar>
            <w:vAlign w:val="center"/>
          </w:tcPr>
          <w:p>
            <w:pPr>
              <w:pStyle w:val="25"/>
              <w:bidi w:val="0"/>
              <w:rPr>
                <w:rFonts w:hint="default"/>
                <w:lang w:val="en-US" w:eastAsia="zh-CN"/>
              </w:rPr>
            </w:pPr>
            <w:r>
              <w:rPr>
                <w:rFonts w:hint="eastAsia"/>
                <w:lang w:val="en-US" w:eastAsia="zh-CN"/>
              </w:rPr>
              <w:t>现状常住人口/人</w:t>
            </w:r>
          </w:p>
        </w:tc>
        <w:tc>
          <w:tcPr>
            <w:tcW w:w="1920" w:type="dxa"/>
            <w:tcBorders>
              <w:tl2br w:val="nil"/>
              <w:tr2bl w:val="nil"/>
            </w:tcBorders>
            <w:noWrap/>
            <w:tcMar>
              <w:top w:w="12" w:type="dxa"/>
              <w:left w:w="12" w:type="dxa"/>
              <w:right w:w="12" w:type="dxa"/>
            </w:tcMar>
            <w:vAlign w:val="center"/>
          </w:tcPr>
          <w:p>
            <w:pPr>
              <w:pStyle w:val="25"/>
              <w:bidi w:val="0"/>
              <w:rPr>
                <w:rFonts w:hint="eastAsia"/>
                <w:lang w:val="en-US" w:eastAsia="zh-CN"/>
              </w:rPr>
            </w:pPr>
            <w:r>
              <w:rPr>
                <w:rFonts w:hint="eastAsia"/>
                <w:lang w:val="en-US" w:eastAsia="zh-CN"/>
              </w:rPr>
              <w:t>近期常住人口/人</w:t>
            </w:r>
          </w:p>
        </w:tc>
        <w:tc>
          <w:tcPr>
            <w:tcW w:w="1826" w:type="dxa"/>
            <w:tcBorders>
              <w:tl2br w:val="nil"/>
              <w:tr2bl w:val="nil"/>
            </w:tcBorders>
            <w:noWrap/>
            <w:tcMar>
              <w:top w:w="12" w:type="dxa"/>
              <w:left w:w="12" w:type="dxa"/>
              <w:right w:w="12" w:type="dxa"/>
            </w:tcMar>
            <w:vAlign w:val="center"/>
          </w:tcPr>
          <w:p>
            <w:pPr>
              <w:pStyle w:val="25"/>
              <w:bidi w:val="0"/>
              <w:rPr>
                <w:rFonts w:hint="eastAsia"/>
                <w:lang w:val="en-US" w:eastAsia="zh-CN"/>
              </w:rPr>
            </w:pPr>
            <w:r>
              <w:rPr>
                <w:rFonts w:hint="eastAsia"/>
                <w:lang w:val="en-US" w:eastAsia="zh-CN"/>
              </w:rPr>
              <w:t>远期常住人口/人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9" w:hRule="atLeast"/>
          <w:jc w:val="center"/>
        </w:trPr>
        <w:tc>
          <w:tcPr>
            <w:tcW w:w="1616" w:type="dxa"/>
            <w:tcBorders>
              <w:tl2br w:val="nil"/>
              <w:tr2bl w:val="nil"/>
            </w:tcBorders>
            <w:shd w:val="clear" w:color="auto" w:fill="FFFFFF"/>
            <w:noWrap w:val="0"/>
            <w:tcMar>
              <w:top w:w="12" w:type="dxa"/>
              <w:left w:w="12" w:type="dxa"/>
              <w:right w:w="12" w:type="dxa"/>
            </w:tcMar>
            <w:vAlign w:val="center"/>
          </w:tcPr>
          <w:p>
            <w:pPr>
              <w:pStyle w:val="25"/>
              <w:bidi w:val="0"/>
              <w:rPr>
                <w:rFonts w:hint="eastAsia"/>
              </w:rPr>
            </w:pPr>
            <w:r>
              <w:rPr>
                <w:rFonts w:hint="eastAsia"/>
                <w:lang w:val="en-US" w:eastAsia="zh-CN"/>
              </w:rPr>
              <w:t>青山村</w:t>
            </w:r>
          </w:p>
        </w:tc>
        <w:tc>
          <w:tcPr>
            <w:tcW w:w="1857" w:type="dxa"/>
            <w:tcBorders>
              <w:tl2br w:val="nil"/>
              <w:tr2bl w:val="nil"/>
            </w:tcBorders>
            <w:shd w:val="clear" w:color="auto" w:fill="FFFFFF"/>
            <w:noWrap w:val="0"/>
            <w:tcMar>
              <w:top w:w="12" w:type="dxa"/>
              <w:left w:w="12" w:type="dxa"/>
              <w:right w:w="12" w:type="dxa"/>
            </w:tcMar>
            <w:vAlign w:val="center"/>
          </w:tcPr>
          <w:p>
            <w:pPr>
              <w:pStyle w:val="25"/>
              <w:bidi w:val="0"/>
              <w:rPr>
                <w:rFonts w:hint="eastAsia"/>
              </w:rPr>
            </w:pPr>
            <w:r>
              <w:rPr>
                <w:rFonts w:hint="eastAsia"/>
                <w:lang w:val="en-US" w:eastAsia="zh-CN"/>
              </w:rPr>
              <w:t>1队</w:t>
            </w:r>
          </w:p>
        </w:tc>
        <w:tc>
          <w:tcPr>
            <w:tcW w:w="1960"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70</w:t>
            </w:r>
          </w:p>
        </w:tc>
        <w:tc>
          <w:tcPr>
            <w:tcW w:w="1920"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65 </w:t>
            </w:r>
          </w:p>
        </w:tc>
        <w:tc>
          <w:tcPr>
            <w:tcW w:w="1826"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61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9" w:hRule="atLeast"/>
          <w:jc w:val="center"/>
        </w:trPr>
        <w:tc>
          <w:tcPr>
            <w:tcW w:w="1616" w:type="dxa"/>
            <w:tcBorders>
              <w:tl2br w:val="nil"/>
              <w:tr2bl w:val="nil"/>
            </w:tcBorders>
            <w:shd w:val="clear" w:color="auto" w:fill="FFFFFF"/>
            <w:noWrap w:val="0"/>
            <w:tcMar>
              <w:top w:w="12" w:type="dxa"/>
              <w:left w:w="12" w:type="dxa"/>
              <w:right w:w="12" w:type="dxa"/>
            </w:tcMar>
            <w:vAlign w:val="center"/>
          </w:tcPr>
          <w:p>
            <w:pPr>
              <w:pStyle w:val="25"/>
              <w:bidi w:val="0"/>
              <w:rPr>
                <w:rFonts w:hint="eastAsia"/>
              </w:rPr>
            </w:pPr>
            <w:r>
              <w:rPr>
                <w:rFonts w:hint="eastAsia"/>
                <w:lang w:val="en-US" w:eastAsia="zh-CN"/>
              </w:rPr>
              <w:t>青山村</w:t>
            </w:r>
          </w:p>
        </w:tc>
        <w:tc>
          <w:tcPr>
            <w:tcW w:w="1857" w:type="dxa"/>
            <w:tcBorders>
              <w:tl2br w:val="nil"/>
              <w:tr2bl w:val="nil"/>
            </w:tcBorders>
            <w:shd w:val="clear" w:color="auto" w:fill="FFFFFF"/>
            <w:noWrap w:val="0"/>
            <w:tcMar>
              <w:top w:w="12" w:type="dxa"/>
              <w:left w:w="12" w:type="dxa"/>
              <w:right w:w="12" w:type="dxa"/>
            </w:tcMar>
            <w:vAlign w:val="center"/>
          </w:tcPr>
          <w:p>
            <w:pPr>
              <w:pStyle w:val="25"/>
              <w:bidi w:val="0"/>
              <w:rPr>
                <w:rFonts w:hint="eastAsia"/>
              </w:rPr>
            </w:pPr>
            <w:r>
              <w:rPr>
                <w:rFonts w:hint="eastAsia"/>
                <w:lang w:val="en-US" w:eastAsia="zh-CN"/>
              </w:rPr>
              <w:t>2队</w:t>
            </w:r>
          </w:p>
        </w:tc>
        <w:tc>
          <w:tcPr>
            <w:tcW w:w="1960"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150</w:t>
            </w:r>
          </w:p>
        </w:tc>
        <w:tc>
          <w:tcPr>
            <w:tcW w:w="1920"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140 </w:t>
            </w:r>
          </w:p>
        </w:tc>
        <w:tc>
          <w:tcPr>
            <w:tcW w:w="1826"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130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9" w:hRule="atLeast"/>
          <w:jc w:val="center"/>
        </w:trPr>
        <w:tc>
          <w:tcPr>
            <w:tcW w:w="1616" w:type="dxa"/>
            <w:tcBorders>
              <w:tl2br w:val="nil"/>
              <w:tr2bl w:val="nil"/>
            </w:tcBorders>
            <w:shd w:val="clear" w:color="auto" w:fill="FFFFFF"/>
            <w:noWrap w:val="0"/>
            <w:tcMar>
              <w:top w:w="12" w:type="dxa"/>
              <w:left w:w="12" w:type="dxa"/>
              <w:right w:w="12" w:type="dxa"/>
            </w:tcMar>
            <w:vAlign w:val="center"/>
          </w:tcPr>
          <w:p>
            <w:pPr>
              <w:pStyle w:val="25"/>
              <w:bidi w:val="0"/>
              <w:rPr>
                <w:rFonts w:hint="eastAsia"/>
              </w:rPr>
            </w:pPr>
            <w:r>
              <w:rPr>
                <w:rFonts w:hint="eastAsia"/>
                <w:lang w:val="en-US" w:eastAsia="zh-CN"/>
              </w:rPr>
              <w:t>青山村</w:t>
            </w:r>
          </w:p>
        </w:tc>
        <w:tc>
          <w:tcPr>
            <w:tcW w:w="1857" w:type="dxa"/>
            <w:tcBorders>
              <w:tl2br w:val="nil"/>
              <w:tr2bl w:val="nil"/>
            </w:tcBorders>
            <w:shd w:val="clear" w:color="auto" w:fill="FFFFFF"/>
            <w:noWrap w:val="0"/>
            <w:tcMar>
              <w:top w:w="12" w:type="dxa"/>
              <w:left w:w="12" w:type="dxa"/>
              <w:right w:w="12" w:type="dxa"/>
            </w:tcMar>
            <w:vAlign w:val="center"/>
          </w:tcPr>
          <w:p>
            <w:pPr>
              <w:pStyle w:val="25"/>
              <w:bidi w:val="0"/>
              <w:rPr>
                <w:rFonts w:hint="eastAsia"/>
              </w:rPr>
            </w:pPr>
            <w:r>
              <w:rPr>
                <w:rFonts w:hint="eastAsia"/>
                <w:lang w:val="en-US" w:eastAsia="zh-CN"/>
              </w:rPr>
              <w:t>3队</w:t>
            </w:r>
          </w:p>
        </w:tc>
        <w:tc>
          <w:tcPr>
            <w:tcW w:w="1960"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74</w:t>
            </w:r>
          </w:p>
        </w:tc>
        <w:tc>
          <w:tcPr>
            <w:tcW w:w="1920"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69 </w:t>
            </w:r>
          </w:p>
        </w:tc>
        <w:tc>
          <w:tcPr>
            <w:tcW w:w="1826"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64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9" w:hRule="atLeast"/>
          <w:jc w:val="center"/>
        </w:trPr>
        <w:tc>
          <w:tcPr>
            <w:tcW w:w="1616" w:type="dxa"/>
            <w:tcBorders>
              <w:tl2br w:val="nil"/>
              <w:tr2bl w:val="nil"/>
            </w:tcBorders>
            <w:shd w:val="clear" w:color="auto" w:fill="FFFFFF"/>
            <w:noWrap w:val="0"/>
            <w:tcMar>
              <w:top w:w="12" w:type="dxa"/>
              <w:left w:w="12" w:type="dxa"/>
              <w:right w:w="12" w:type="dxa"/>
            </w:tcMar>
            <w:vAlign w:val="center"/>
          </w:tcPr>
          <w:p>
            <w:pPr>
              <w:pStyle w:val="25"/>
              <w:bidi w:val="0"/>
              <w:rPr>
                <w:rFonts w:hint="eastAsia"/>
              </w:rPr>
            </w:pPr>
            <w:r>
              <w:rPr>
                <w:rFonts w:hint="eastAsia"/>
                <w:lang w:val="en-US" w:eastAsia="zh-CN"/>
              </w:rPr>
              <w:t>爱国村</w:t>
            </w:r>
          </w:p>
        </w:tc>
        <w:tc>
          <w:tcPr>
            <w:tcW w:w="1857" w:type="dxa"/>
            <w:tcBorders>
              <w:tl2br w:val="nil"/>
              <w:tr2bl w:val="nil"/>
            </w:tcBorders>
            <w:shd w:val="clear" w:color="auto" w:fill="FFFFFF"/>
            <w:noWrap w:val="0"/>
            <w:tcMar>
              <w:top w:w="12" w:type="dxa"/>
              <w:left w:w="12" w:type="dxa"/>
              <w:right w:w="12" w:type="dxa"/>
            </w:tcMar>
            <w:vAlign w:val="center"/>
          </w:tcPr>
          <w:p>
            <w:pPr>
              <w:pStyle w:val="25"/>
              <w:bidi w:val="0"/>
              <w:rPr>
                <w:rFonts w:hint="eastAsia"/>
              </w:rPr>
            </w:pPr>
            <w:r>
              <w:rPr>
                <w:rFonts w:hint="eastAsia"/>
                <w:lang w:val="en-US" w:eastAsia="zh-CN"/>
              </w:rPr>
              <w:t>1队</w:t>
            </w:r>
          </w:p>
        </w:tc>
        <w:tc>
          <w:tcPr>
            <w:tcW w:w="1960"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35</w:t>
            </w:r>
          </w:p>
        </w:tc>
        <w:tc>
          <w:tcPr>
            <w:tcW w:w="1920"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33 </w:t>
            </w:r>
          </w:p>
        </w:tc>
        <w:tc>
          <w:tcPr>
            <w:tcW w:w="1826"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30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9" w:hRule="atLeast"/>
          <w:jc w:val="center"/>
        </w:trPr>
        <w:tc>
          <w:tcPr>
            <w:tcW w:w="1616" w:type="dxa"/>
            <w:tcBorders>
              <w:tl2br w:val="nil"/>
              <w:tr2bl w:val="nil"/>
            </w:tcBorders>
            <w:shd w:val="clear" w:color="auto" w:fill="FFFFFF"/>
            <w:noWrap w:val="0"/>
            <w:tcMar>
              <w:top w:w="12" w:type="dxa"/>
              <w:left w:w="12" w:type="dxa"/>
              <w:right w:w="12" w:type="dxa"/>
            </w:tcMar>
            <w:vAlign w:val="center"/>
          </w:tcPr>
          <w:p>
            <w:pPr>
              <w:pStyle w:val="25"/>
              <w:bidi w:val="0"/>
              <w:rPr>
                <w:rFonts w:hint="eastAsia"/>
              </w:rPr>
            </w:pPr>
            <w:r>
              <w:rPr>
                <w:rFonts w:hint="eastAsia"/>
                <w:lang w:val="en-US" w:eastAsia="zh-CN"/>
              </w:rPr>
              <w:t>爱国村</w:t>
            </w:r>
          </w:p>
        </w:tc>
        <w:tc>
          <w:tcPr>
            <w:tcW w:w="1857" w:type="dxa"/>
            <w:tcBorders>
              <w:tl2br w:val="nil"/>
              <w:tr2bl w:val="nil"/>
            </w:tcBorders>
            <w:shd w:val="clear" w:color="auto" w:fill="FFFFFF"/>
            <w:noWrap w:val="0"/>
            <w:tcMar>
              <w:top w:w="12" w:type="dxa"/>
              <w:left w:w="12" w:type="dxa"/>
              <w:right w:w="12" w:type="dxa"/>
            </w:tcMar>
            <w:vAlign w:val="center"/>
          </w:tcPr>
          <w:p>
            <w:pPr>
              <w:pStyle w:val="25"/>
              <w:bidi w:val="0"/>
              <w:rPr>
                <w:rFonts w:hint="eastAsia"/>
              </w:rPr>
            </w:pPr>
            <w:r>
              <w:rPr>
                <w:rFonts w:hint="eastAsia"/>
                <w:lang w:val="en-US" w:eastAsia="zh-CN"/>
              </w:rPr>
              <w:t>2队</w:t>
            </w:r>
          </w:p>
        </w:tc>
        <w:tc>
          <w:tcPr>
            <w:tcW w:w="1960"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110</w:t>
            </w:r>
          </w:p>
        </w:tc>
        <w:tc>
          <w:tcPr>
            <w:tcW w:w="1920"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102 </w:t>
            </w:r>
          </w:p>
        </w:tc>
        <w:tc>
          <w:tcPr>
            <w:tcW w:w="1826"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95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9" w:hRule="atLeast"/>
          <w:jc w:val="center"/>
        </w:trPr>
        <w:tc>
          <w:tcPr>
            <w:tcW w:w="1616" w:type="dxa"/>
            <w:tcBorders>
              <w:tl2br w:val="nil"/>
              <w:tr2bl w:val="nil"/>
            </w:tcBorders>
            <w:shd w:val="clear" w:color="auto" w:fill="FFFFFF"/>
            <w:noWrap w:val="0"/>
            <w:tcMar>
              <w:top w:w="12" w:type="dxa"/>
              <w:left w:w="12" w:type="dxa"/>
              <w:right w:w="12" w:type="dxa"/>
            </w:tcMar>
            <w:vAlign w:val="center"/>
          </w:tcPr>
          <w:p>
            <w:pPr>
              <w:pStyle w:val="25"/>
              <w:bidi w:val="0"/>
              <w:rPr>
                <w:rFonts w:hint="eastAsia"/>
              </w:rPr>
            </w:pPr>
            <w:r>
              <w:rPr>
                <w:rFonts w:hint="eastAsia"/>
                <w:lang w:val="en-US" w:eastAsia="zh-CN"/>
              </w:rPr>
              <w:t>曙光村</w:t>
            </w:r>
          </w:p>
        </w:tc>
        <w:tc>
          <w:tcPr>
            <w:tcW w:w="1857" w:type="dxa"/>
            <w:tcBorders>
              <w:tl2br w:val="nil"/>
              <w:tr2bl w:val="nil"/>
            </w:tcBorders>
            <w:shd w:val="clear" w:color="auto" w:fill="FFFFFF"/>
            <w:noWrap w:val="0"/>
            <w:tcMar>
              <w:top w:w="12" w:type="dxa"/>
              <w:left w:w="12" w:type="dxa"/>
              <w:right w:w="12" w:type="dxa"/>
            </w:tcMar>
            <w:vAlign w:val="center"/>
          </w:tcPr>
          <w:p>
            <w:pPr>
              <w:pStyle w:val="25"/>
              <w:bidi w:val="0"/>
              <w:rPr>
                <w:rFonts w:hint="eastAsia"/>
              </w:rPr>
            </w:pPr>
            <w:r>
              <w:rPr>
                <w:rFonts w:hint="eastAsia"/>
                <w:lang w:val="en-US" w:eastAsia="zh-CN"/>
              </w:rPr>
              <w:t>1队</w:t>
            </w:r>
          </w:p>
        </w:tc>
        <w:tc>
          <w:tcPr>
            <w:tcW w:w="1960"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48</w:t>
            </w:r>
          </w:p>
        </w:tc>
        <w:tc>
          <w:tcPr>
            <w:tcW w:w="1920"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45 </w:t>
            </w:r>
          </w:p>
        </w:tc>
        <w:tc>
          <w:tcPr>
            <w:tcW w:w="1826"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42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9" w:hRule="atLeast"/>
          <w:jc w:val="center"/>
        </w:trPr>
        <w:tc>
          <w:tcPr>
            <w:tcW w:w="1616" w:type="dxa"/>
            <w:tcBorders>
              <w:tl2br w:val="nil"/>
              <w:tr2bl w:val="nil"/>
            </w:tcBorders>
            <w:shd w:val="clear" w:color="auto" w:fill="FFFFFF"/>
            <w:noWrap w:val="0"/>
            <w:tcMar>
              <w:top w:w="12" w:type="dxa"/>
              <w:left w:w="12" w:type="dxa"/>
              <w:right w:w="12" w:type="dxa"/>
            </w:tcMar>
            <w:vAlign w:val="center"/>
          </w:tcPr>
          <w:p>
            <w:pPr>
              <w:pStyle w:val="25"/>
              <w:bidi w:val="0"/>
              <w:rPr>
                <w:rFonts w:hint="eastAsia"/>
                <w:lang w:val="en-US" w:eastAsia="zh-CN"/>
              </w:rPr>
            </w:pPr>
            <w:r>
              <w:rPr>
                <w:rFonts w:hint="eastAsia"/>
                <w:lang w:val="en-US" w:eastAsia="zh-CN"/>
              </w:rPr>
              <w:t>曙光村</w:t>
            </w:r>
          </w:p>
        </w:tc>
        <w:tc>
          <w:tcPr>
            <w:tcW w:w="1857" w:type="dxa"/>
            <w:tcBorders>
              <w:tl2br w:val="nil"/>
              <w:tr2bl w:val="nil"/>
            </w:tcBorders>
            <w:shd w:val="clear" w:color="auto" w:fill="FFFFFF"/>
            <w:noWrap w:val="0"/>
            <w:tcMar>
              <w:top w:w="12" w:type="dxa"/>
              <w:left w:w="12" w:type="dxa"/>
              <w:right w:w="12" w:type="dxa"/>
            </w:tcMar>
            <w:vAlign w:val="center"/>
          </w:tcPr>
          <w:p>
            <w:pPr>
              <w:pStyle w:val="25"/>
              <w:bidi w:val="0"/>
              <w:rPr>
                <w:rFonts w:hint="eastAsia"/>
                <w:lang w:val="en-US" w:eastAsia="zh-CN"/>
              </w:rPr>
            </w:pPr>
            <w:r>
              <w:rPr>
                <w:rFonts w:hint="eastAsia"/>
                <w:lang w:val="en-US" w:eastAsia="zh-CN"/>
              </w:rPr>
              <w:t>2队</w:t>
            </w:r>
          </w:p>
        </w:tc>
        <w:tc>
          <w:tcPr>
            <w:tcW w:w="1960" w:type="dxa"/>
            <w:tcBorders>
              <w:tl2br w:val="nil"/>
              <w:tr2bl w:val="nil"/>
            </w:tcBorders>
            <w:noWrap/>
            <w:tcMar>
              <w:top w:w="12" w:type="dxa"/>
              <w:left w:w="12" w:type="dxa"/>
              <w:right w:w="12" w:type="dxa"/>
            </w:tcMar>
            <w:vAlign w:val="center"/>
          </w:tcPr>
          <w:p>
            <w:pPr>
              <w:pStyle w:val="25"/>
              <w:bidi w:val="0"/>
              <w:rPr>
                <w:rFonts w:hint="eastAsia"/>
                <w:lang w:val="en-US" w:eastAsia="zh-CN"/>
              </w:rPr>
            </w:pPr>
            <w:r>
              <w:rPr>
                <w:rFonts w:hint="eastAsia"/>
                <w:lang w:val="en-US" w:eastAsia="zh-CN"/>
              </w:rPr>
              <w:t>112</w:t>
            </w:r>
          </w:p>
        </w:tc>
        <w:tc>
          <w:tcPr>
            <w:tcW w:w="1920" w:type="dxa"/>
            <w:tcBorders>
              <w:tl2br w:val="nil"/>
              <w:tr2bl w:val="nil"/>
            </w:tcBorders>
            <w:noWrap/>
            <w:tcMar>
              <w:top w:w="12" w:type="dxa"/>
              <w:left w:w="12" w:type="dxa"/>
              <w:right w:w="12" w:type="dxa"/>
            </w:tcMar>
            <w:vAlign w:val="center"/>
          </w:tcPr>
          <w:p>
            <w:pPr>
              <w:pStyle w:val="25"/>
              <w:bidi w:val="0"/>
              <w:rPr>
                <w:rFonts w:hint="eastAsia"/>
                <w:lang w:val="en-US" w:eastAsia="zh-CN"/>
              </w:rPr>
            </w:pPr>
            <w:r>
              <w:rPr>
                <w:rFonts w:hint="eastAsia"/>
                <w:lang w:val="en-US" w:eastAsia="zh-CN"/>
              </w:rPr>
              <w:t xml:space="preserve">104 </w:t>
            </w:r>
          </w:p>
        </w:tc>
        <w:tc>
          <w:tcPr>
            <w:tcW w:w="1826" w:type="dxa"/>
            <w:tcBorders>
              <w:tl2br w:val="nil"/>
              <w:tr2bl w:val="nil"/>
            </w:tcBorders>
            <w:noWrap/>
            <w:tcMar>
              <w:top w:w="12" w:type="dxa"/>
              <w:left w:w="12" w:type="dxa"/>
              <w:right w:w="12" w:type="dxa"/>
            </w:tcMar>
            <w:vAlign w:val="center"/>
          </w:tcPr>
          <w:p>
            <w:pPr>
              <w:pStyle w:val="25"/>
              <w:bidi w:val="0"/>
              <w:rPr>
                <w:rFonts w:hint="eastAsia"/>
                <w:lang w:val="en-US" w:eastAsia="zh-CN"/>
              </w:rPr>
            </w:pPr>
            <w:r>
              <w:rPr>
                <w:rFonts w:hint="eastAsia"/>
                <w:lang w:val="en-US" w:eastAsia="zh-CN"/>
              </w:rPr>
              <w:t xml:space="preserve">97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9" w:hRule="atLeast"/>
          <w:jc w:val="center"/>
        </w:trPr>
        <w:tc>
          <w:tcPr>
            <w:tcW w:w="1616" w:type="dxa"/>
            <w:tcBorders>
              <w:tl2br w:val="nil"/>
              <w:tr2bl w:val="nil"/>
            </w:tcBorders>
            <w:shd w:val="clear" w:color="auto" w:fill="FFFFFF"/>
            <w:noWrap w:val="0"/>
            <w:tcMar>
              <w:top w:w="12" w:type="dxa"/>
              <w:left w:w="12" w:type="dxa"/>
              <w:right w:w="12" w:type="dxa"/>
            </w:tcMar>
            <w:vAlign w:val="center"/>
          </w:tcPr>
          <w:p>
            <w:pPr>
              <w:pStyle w:val="25"/>
              <w:bidi w:val="0"/>
              <w:rPr>
                <w:rFonts w:hint="eastAsia"/>
                <w:lang w:val="en-US" w:eastAsia="zh-CN"/>
              </w:rPr>
            </w:pPr>
            <w:r>
              <w:rPr>
                <w:rFonts w:hint="eastAsia"/>
                <w:lang w:val="en-US" w:eastAsia="zh-CN"/>
              </w:rPr>
              <w:t>曙光村</w:t>
            </w:r>
          </w:p>
        </w:tc>
        <w:tc>
          <w:tcPr>
            <w:tcW w:w="1857" w:type="dxa"/>
            <w:tcBorders>
              <w:tl2br w:val="nil"/>
              <w:tr2bl w:val="nil"/>
            </w:tcBorders>
            <w:shd w:val="clear" w:color="auto" w:fill="FFFFFF"/>
            <w:noWrap w:val="0"/>
            <w:tcMar>
              <w:top w:w="12" w:type="dxa"/>
              <w:left w:w="12" w:type="dxa"/>
              <w:right w:w="12" w:type="dxa"/>
            </w:tcMar>
            <w:vAlign w:val="center"/>
          </w:tcPr>
          <w:p>
            <w:pPr>
              <w:pStyle w:val="25"/>
              <w:bidi w:val="0"/>
              <w:rPr>
                <w:rFonts w:hint="eastAsia"/>
                <w:lang w:val="en-US" w:eastAsia="zh-CN"/>
              </w:rPr>
            </w:pPr>
            <w:r>
              <w:rPr>
                <w:rFonts w:hint="eastAsia"/>
                <w:lang w:val="en-US" w:eastAsia="zh-CN"/>
              </w:rPr>
              <w:t>3队</w:t>
            </w:r>
          </w:p>
        </w:tc>
        <w:tc>
          <w:tcPr>
            <w:tcW w:w="1960" w:type="dxa"/>
            <w:tcBorders>
              <w:tl2br w:val="nil"/>
              <w:tr2bl w:val="nil"/>
            </w:tcBorders>
            <w:noWrap/>
            <w:tcMar>
              <w:top w:w="12" w:type="dxa"/>
              <w:left w:w="12" w:type="dxa"/>
              <w:right w:w="12" w:type="dxa"/>
            </w:tcMar>
            <w:vAlign w:val="center"/>
          </w:tcPr>
          <w:p>
            <w:pPr>
              <w:pStyle w:val="25"/>
              <w:bidi w:val="0"/>
              <w:rPr>
                <w:rFonts w:hint="eastAsia"/>
                <w:lang w:val="en-US" w:eastAsia="zh-CN"/>
              </w:rPr>
            </w:pPr>
            <w:r>
              <w:rPr>
                <w:rFonts w:hint="eastAsia"/>
                <w:lang w:val="en-US" w:eastAsia="zh-CN"/>
              </w:rPr>
              <w:t>58</w:t>
            </w:r>
          </w:p>
        </w:tc>
        <w:tc>
          <w:tcPr>
            <w:tcW w:w="1920" w:type="dxa"/>
            <w:tcBorders>
              <w:tl2br w:val="nil"/>
              <w:tr2bl w:val="nil"/>
            </w:tcBorders>
            <w:noWrap/>
            <w:tcMar>
              <w:top w:w="12" w:type="dxa"/>
              <w:left w:w="12" w:type="dxa"/>
              <w:right w:w="12" w:type="dxa"/>
            </w:tcMar>
            <w:vAlign w:val="center"/>
          </w:tcPr>
          <w:p>
            <w:pPr>
              <w:pStyle w:val="25"/>
              <w:bidi w:val="0"/>
              <w:rPr>
                <w:rFonts w:hint="eastAsia"/>
                <w:lang w:val="en-US" w:eastAsia="zh-CN"/>
              </w:rPr>
            </w:pPr>
            <w:r>
              <w:rPr>
                <w:rFonts w:hint="eastAsia"/>
                <w:lang w:val="en-US" w:eastAsia="zh-CN"/>
              </w:rPr>
              <w:t xml:space="preserve">54 </w:t>
            </w:r>
          </w:p>
        </w:tc>
        <w:tc>
          <w:tcPr>
            <w:tcW w:w="1826" w:type="dxa"/>
            <w:tcBorders>
              <w:tl2br w:val="nil"/>
              <w:tr2bl w:val="nil"/>
            </w:tcBorders>
            <w:noWrap/>
            <w:tcMar>
              <w:top w:w="12" w:type="dxa"/>
              <w:left w:w="12" w:type="dxa"/>
              <w:right w:w="12" w:type="dxa"/>
            </w:tcMar>
            <w:vAlign w:val="center"/>
          </w:tcPr>
          <w:p>
            <w:pPr>
              <w:pStyle w:val="25"/>
              <w:bidi w:val="0"/>
              <w:rPr>
                <w:rFonts w:hint="eastAsia"/>
                <w:lang w:val="en-US" w:eastAsia="zh-CN"/>
              </w:rPr>
            </w:pPr>
            <w:r>
              <w:rPr>
                <w:rFonts w:hint="eastAsia"/>
                <w:lang w:val="en-US" w:eastAsia="zh-CN"/>
              </w:rPr>
              <w:t xml:space="preserve">50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9" w:hRule="atLeast"/>
          <w:jc w:val="center"/>
        </w:trPr>
        <w:tc>
          <w:tcPr>
            <w:tcW w:w="1616" w:type="dxa"/>
            <w:tcBorders>
              <w:tl2br w:val="nil"/>
              <w:tr2bl w:val="nil"/>
            </w:tcBorders>
            <w:shd w:val="clear" w:color="auto" w:fill="FFFFFF"/>
            <w:noWrap w:val="0"/>
            <w:tcMar>
              <w:top w:w="12" w:type="dxa"/>
              <w:left w:w="12" w:type="dxa"/>
              <w:right w:w="12" w:type="dxa"/>
            </w:tcMar>
            <w:vAlign w:val="center"/>
          </w:tcPr>
          <w:p>
            <w:pPr>
              <w:pStyle w:val="25"/>
              <w:bidi w:val="0"/>
              <w:rPr>
                <w:rFonts w:hint="eastAsia"/>
                <w:lang w:val="en-US" w:eastAsia="zh-CN"/>
              </w:rPr>
            </w:pPr>
            <w:r>
              <w:rPr>
                <w:rFonts w:hint="eastAsia"/>
                <w:lang w:val="en-US" w:eastAsia="zh-CN"/>
              </w:rPr>
              <w:t>曙光村</w:t>
            </w:r>
          </w:p>
        </w:tc>
        <w:tc>
          <w:tcPr>
            <w:tcW w:w="1857" w:type="dxa"/>
            <w:tcBorders>
              <w:tl2br w:val="nil"/>
              <w:tr2bl w:val="nil"/>
            </w:tcBorders>
            <w:shd w:val="clear" w:color="auto" w:fill="FFFFFF"/>
            <w:noWrap w:val="0"/>
            <w:tcMar>
              <w:top w:w="12" w:type="dxa"/>
              <w:left w:w="12" w:type="dxa"/>
              <w:right w:w="12" w:type="dxa"/>
            </w:tcMar>
            <w:vAlign w:val="center"/>
          </w:tcPr>
          <w:p>
            <w:pPr>
              <w:pStyle w:val="25"/>
              <w:bidi w:val="0"/>
              <w:rPr>
                <w:rFonts w:hint="eastAsia"/>
                <w:lang w:val="en-US" w:eastAsia="zh-CN"/>
              </w:rPr>
            </w:pPr>
            <w:r>
              <w:rPr>
                <w:rFonts w:hint="eastAsia"/>
                <w:lang w:val="en-US" w:eastAsia="zh-CN"/>
              </w:rPr>
              <w:t>4队</w:t>
            </w:r>
          </w:p>
        </w:tc>
        <w:tc>
          <w:tcPr>
            <w:tcW w:w="1960" w:type="dxa"/>
            <w:tcBorders>
              <w:tl2br w:val="nil"/>
              <w:tr2bl w:val="nil"/>
            </w:tcBorders>
            <w:noWrap/>
            <w:tcMar>
              <w:top w:w="12" w:type="dxa"/>
              <w:left w:w="12" w:type="dxa"/>
              <w:right w:w="12" w:type="dxa"/>
            </w:tcMar>
            <w:vAlign w:val="center"/>
          </w:tcPr>
          <w:p>
            <w:pPr>
              <w:pStyle w:val="25"/>
              <w:bidi w:val="0"/>
              <w:rPr>
                <w:rFonts w:hint="eastAsia"/>
                <w:lang w:val="en-US" w:eastAsia="zh-CN"/>
              </w:rPr>
            </w:pPr>
            <w:r>
              <w:rPr>
                <w:rFonts w:hint="eastAsia"/>
                <w:lang w:val="en-US" w:eastAsia="zh-CN"/>
              </w:rPr>
              <w:t>68</w:t>
            </w:r>
          </w:p>
        </w:tc>
        <w:tc>
          <w:tcPr>
            <w:tcW w:w="1920" w:type="dxa"/>
            <w:tcBorders>
              <w:tl2br w:val="nil"/>
              <w:tr2bl w:val="nil"/>
            </w:tcBorders>
            <w:noWrap/>
            <w:tcMar>
              <w:top w:w="12" w:type="dxa"/>
              <w:left w:w="12" w:type="dxa"/>
              <w:right w:w="12" w:type="dxa"/>
            </w:tcMar>
            <w:vAlign w:val="center"/>
          </w:tcPr>
          <w:p>
            <w:pPr>
              <w:pStyle w:val="25"/>
              <w:bidi w:val="0"/>
              <w:rPr>
                <w:rFonts w:hint="eastAsia"/>
                <w:lang w:val="en-US" w:eastAsia="zh-CN"/>
              </w:rPr>
            </w:pPr>
            <w:r>
              <w:rPr>
                <w:rFonts w:hint="eastAsia"/>
                <w:lang w:val="en-US" w:eastAsia="zh-CN"/>
              </w:rPr>
              <w:t xml:space="preserve">63 </w:t>
            </w:r>
          </w:p>
        </w:tc>
        <w:tc>
          <w:tcPr>
            <w:tcW w:w="1826" w:type="dxa"/>
            <w:tcBorders>
              <w:tl2br w:val="nil"/>
              <w:tr2bl w:val="nil"/>
            </w:tcBorders>
            <w:noWrap/>
            <w:tcMar>
              <w:top w:w="12" w:type="dxa"/>
              <w:left w:w="12" w:type="dxa"/>
              <w:right w:w="12" w:type="dxa"/>
            </w:tcMar>
            <w:vAlign w:val="center"/>
          </w:tcPr>
          <w:p>
            <w:pPr>
              <w:pStyle w:val="25"/>
              <w:bidi w:val="0"/>
              <w:rPr>
                <w:rFonts w:hint="eastAsia"/>
                <w:lang w:val="en-US" w:eastAsia="zh-CN"/>
              </w:rPr>
            </w:pPr>
            <w:r>
              <w:rPr>
                <w:rFonts w:hint="eastAsia"/>
                <w:lang w:val="en-US" w:eastAsia="zh-CN"/>
              </w:rPr>
              <w:t xml:space="preserve">59 </w:t>
            </w:r>
          </w:p>
        </w:tc>
      </w:tr>
    </w:tbl>
    <w:p>
      <w:pPr>
        <w:pStyle w:val="7"/>
      </w:pPr>
      <w:bookmarkStart w:id="147" w:name="_Toc21652"/>
      <w:r>
        <w:rPr>
          <w:rFonts w:hint="eastAsia"/>
        </w:rPr>
        <w:t>3.2.</w:t>
      </w:r>
      <w:r>
        <w:rPr>
          <w:rFonts w:hint="eastAsia"/>
          <w:lang w:val="en-US" w:eastAsia="zh-CN"/>
        </w:rPr>
        <w:t>2</w:t>
      </w:r>
      <w:r>
        <w:rPr>
          <w:rFonts w:hint="eastAsia"/>
        </w:rPr>
        <w:t>水量预测</w:t>
      </w:r>
    </w:p>
    <w:p>
      <w:pPr>
        <w:pStyle w:val="7"/>
        <w:rPr>
          <w:rFonts w:hint="eastAsia"/>
        </w:rPr>
      </w:pPr>
      <w:r>
        <w:rPr>
          <w:rFonts w:hint="eastAsia"/>
        </w:rPr>
        <w:t>3</w:t>
      </w:r>
      <w:r>
        <w:t>.2.</w:t>
      </w:r>
      <w:r>
        <w:rPr>
          <w:rFonts w:hint="eastAsia"/>
          <w:lang w:val="en-US" w:eastAsia="zh-CN"/>
        </w:rPr>
        <w:t>2</w:t>
      </w:r>
      <w:r>
        <w:t>.1</w:t>
      </w:r>
      <w:r>
        <w:rPr>
          <w:rFonts w:hint="eastAsia"/>
        </w:rPr>
        <w:t>人均综合用水量指标</w:t>
      </w:r>
      <w:bookmarkEnd w:id="147"/>
    </w:p>
    <w:p>
      <w:pPr>
        <w:pStyle w:val="2"/>
        <w:ind w:firstLine="560"/>
      </w:pPr>
      <w:r>
        <w:t>在供排水规划中，人均用水量指标的合理确定是预测水量的关键步骤，预测水量的方法主要有基于人口数量的用水量预测法、基于土地利用类型的用水量预测法以及生活用水、业用水分类预测的方法。</w:t>
      </w:r>
    </w:p>
    <w:p>
      <w:pPr>
        <w:pStyle w:val="2"/>
        <w:ind w:firstLine="560"/>
      </w:pPr>
      <w:r>
        <w:t>根据</w:t>
      </w:r>
      <w:r>
        <w:rPr>
          <w:rFonts w:hint="eastAsia"/>
        </w:rPr>
        <w:t>《农村生活污水处理工程技术标准》GB/T51347-2019</w:t>
      </w:r>
      <w:r>
        <w:t>中的</w:t>
      </w:r>
      <w:r>
        <w:rPr>
          <w:rFonts w:hint="eastAsia"/>
        </w:rPr>
        <w:t>推荐值：</w:t>
      </w:r>
    </w:p>
    <w:p>
      <w:pPr>
        <w:pStyle w:val="2"/>
        <w:ind w:firstLine="560"/>
        <w:rPr>
          <w:rFonts w:hint="eastAsia"/>
        </w:rPr>
      </w:pPr>
      <w:r>
        <w:rPr>
          <w:rFonts w:hint="eastAsia"/>
          <w:lang w:eastAsia="zh-CN"/>
        </w:rPr>
        <w:t>（</w:t>
      </w:r>
      <w:r>
        <w:rPr>
          <w:rFonts w:hint="eastAsia"/>
          <w:lang w:val="en-US" w:eastAsia="zh-CN"/>
        </w:rPr>
        <w:t>1</w:t>
      </w:r>
      <w:r>
        <w:rPr>
          <w:rFonts w:hint="eastAsia"/>
          <w:lang w:eastAsia="zh-CN"/>
        </w:rPr>
        <w:t>）</w:t>
      </w:r>
      <w:r>
        <w:rPr>
          <w:rFonts w:hint="eastAsia"/>
        </w:rPr>
        <w:t>有水冲厕所，有淋浴设施的村庄，居民生活用水指标为</w:t>
      </w:r>
      <w:r>
        <w:t>100~180升/（人</w:t>
      </w:r>
      <w:r>
        <w:rPr>
          <w:rFonts w:hint="eastAsia"/>
        </w:rPr>
        <w:t>·</w:t>
      </w:r>
      <w:r>
        <w:t>日）</w:t>
      </w:r>
      <w:r>
        <w:rPr>
          <w:rFonts w:hint="eastAsia"/>
        </w:rPr>
        <w:t>；</w:t>
      </w:r>
    </w:p>
    <w:p>
      <w:pPr>
        <w:pStyle w:val="2"/>
        <w:ind w:firstLine="560"/>
        <w:rPr>
          <w:rFonts w:hint="eastAsia"/>
        </w:rPr>
      </w:pPr>
      <w:r>
        <w:rPr>
          <w:rFonts w:hint="eastAsia"/>
          <w:lang w:eastAsia="zh-CN"/>
        </w:rPr>
        <w:t>（</w:t>
      </w:r>
      <w:r>
        <w:rPr>
          <w:rFonts w:hint="eastAsia"/>
          <w:lang w:val="en-US" w:eastAsia="zh-CN"/>
        </w:rPr>
        <w:t>2</w:t>
      </w:r>
      <w:r>
        <w:rPr>
          <w:rFonts w:hint="eastAsia"/>
          <w:lang w:eastAsia="zh-CN"/>
        </w:rPr>
        <w:t>）</w:t>
      </w:r>
      <w:r>
        <w:rPr>
          <w:rFonts w:hint="eastAsia"/>
        </w:rPr>
        <w:t>有水冲厕所，无淋浴设施的村庄，居民生活用水指标为</w:t>
      </w:r>
      <w:r>
        <w:t>60~120升/（人</w:t>
      </w:r>
      <w:r>
        <w:rPr>
          <w:rFonts w:hint="eastAsia"/>
        </w:rPr>
        <w:t>·</w:t>
      </w:r>
      <w:r>
        <w:t>日）</w:t>
      </w:r>
      <w:r>
        <w:rPr>
          <w:rFonts w:hint="eastAsia"/>
        </w:rPr>
        <w:t>；</w:t>
      </w:r>
    </w:p>
    <w:p>
      <w:pPr>
        <w:pStyle w:val="2"/>
        <w:ind w:firstLine="560"/>
        <w:rPr>
          <w:rFonts w:hint="eastAsia"/>
        </w:rPr>
      </w:pPr>
      <w:r>
        <w:rPr>
          <w:rFonts w:hint="eastAsia"/>
          <w:lang w:eastAsia="zh-CN"/>
        </w:rPr>
        <w:t>（</w:t>
      </w:r>
      <w:r>
        <w:rPr>
          <w:rFonts w:hint="eastAsia"/>
          <w:lang w:val="en-US" w:eastAsia="zh-CN"/>
        </w:rPr>
        <w:t>3</w:t>
      </w:r>
      <w:r>
        <w:rPr>
          <w:rFonts w:hint="eastAsia"/>
          <w:lang w:eastAsia="zh-CN"/>
        </w:rPr>
        <w:t>）</w:t>
      </w:r>
      <w:r>
        <w:rPr>
          <w:rFonts w:hint="eastAsia"/>
        </w:rPr>
        <w:t>无水冲厕所，有淋浴设施的村庄，居民生活用水指标为</w:t>
      </w:r>
      <w:r>
        <w:t>50~80升/（人</w:t>
      </w:r>
      <w:r>
        <w:rPr>
          <w:rFonts w:hint="eastAsia"/>
        </w:rPr>
        <w:t>·</w:t>
      </w:r>
      <w:r>
        <w:t>日）</w:t>
      </w:r>
      <w:r>
        <w:rPr>
          <w:rFonts w:hint="eastAsia"/>
        </w:rPr>
        <w:t>；</w:t>
      </w:r>
    </w:p>
    <w:p>
      <w:pPr>
        <w:pStyle w:val="2"/>
        <w:ind w:firstLine="560"/>
        <w:rPr>
          <w:rFonts w:hint="eastAsia"/>
          <w:highlight w:val="none"/>
        </w:rPr>
      </w:pPr>
      <w:r>
        <w:rPr>
          <w:rFonts w:hint="eastAsia"/>
          <w:highlight w:val="none"/>
          <w:lang w:eastAsia="zh-CN"/>
        </w:rPr>
        <w:t>（</w:t>
      </w:r>
      <w:r>
        <w:rPr>
          <w:rFonts w:hint="eastAsia"/>
          <w:highlight w:val="none"/>
          <w:lang w:val="en-US" w:eastAsia="zh-CN"/>
        </w:rPr>
        <w:t>4</w:t>
      </w:r>
      <w:r>
        <w:rPr>
          <w:rFonts w:hint="eastAsia"/>
          <w:highlight w:val="none"/>
          <w:lang w:eastAsia="zh-CN"/>
        </w:rPr>
        <w:t>）</w:t>
      </w:r>
      <w:r>
        <w:rPr>
          <w:rFonts w:hint="eastAsia"/>
          <w:highlight w:val="none"/>
        </w:rPr>
        <w:t>无水冲厕所，无淋浴设施的村庄，居民生活用水指标为</w:t>
      </w:r>
      <w:r>
        <w:rPr>
          <w:highlight w:val="none"/>
        </w:rPr>
        <w:t>40~60升/（人</w:t>
      </w:r>
      <w:r>
        <w:rPr>
          <w:rFonts w:hint="eastAsia"/>
          <w:highlight w:val="none"/>
        </w:rPr>
        <w:t>·</w:t>
      </w:r>
      <w:r>
        <w:rPr>
          <w:highlight w:val="none"/>
        </w:rPr>
        <w:t>日）</w:t>
      </w:r>
      <w:r>
        <w:rPr>
          <w:rFonts w:hint="eastAsia"/>
          <w:highlight w:val="none"/>
        </w:rPr>
        <w:t>。</w:t>
      </w:r>
    </w:p>
    <w:p>
      <w:pPr>
        <w:pStyle w:val="2"/>
        <w:ind w:firstLine="560"/>
        <w:rPr>
          <w:rFonts w:hint="eastAsia"/>
          <w:highlight w:val="none"/>
        </w:rPr>
      </w:pPr>
      <w:r>
        <w:rPr>
          <w:rFonts w:hint="eastAsia"/>
          <w:highlight w:val="none"/>
        </w:rPr>
        <w:t>结合</w:t>
      </w:r>
      <w:r>
        <w:rPr>
          <w:rFonts w:hint="eastAsia"/>
          <w:highlight w:val="none"/>
          <w:lang w:val="en-US" w:eastAsia="zh-CN"/>
        </w:rPr>
        <w:t>友好区</w:t>
      </w:r>
      <w:r>
        <w:rPr>
          <w:rFonts w:hint="eastAsia"/>
          <w:highlight w:val="none"/>
        </w:rPr>
        <w:t>经济技术条件</w:t>
      </w:r>
      <w:r>
        <w:rPr>
          <w:rFonts w:hint="eastAsia"/>
          <w:highlight w:val="none"/>
          <w:lang w:val="en-US" w:eastAsia="zh-CN"/>
        </w:rPr>
        <w:t>以及改厕情况，</w:t>
      </w:r>
      <w:r>
        <w:rPr>
          <w:rFonts w:hint="eastAsia"/>
          <w:highlight w:val="none"/>
        </w:rPr>
        <w:t>本次规划</w:t>
      </w:r>
      <w:r>
        <w:rPr>
          <w:rFonts w:hint="eastAsia"/>
          <w:highlight w:val="none"/>
          <w:lang w:val="en-US" w:eastAsia="zh-CN"/>
        </w:rPr>
        <w:t>近期选取标准中的低值40</w:t>
      </w:r>
      <w:r>
        <w:t>升/（人</w:t>
      </w:r>
      <w:r>
        <w:rPr>
          <w:rFonts w:hint="eastAsia"/>
        </w:rPr>
        <w:t>·</w:t>
      </w:r>
      <w:r>
        <w:t>日）</w:t>
      </w:r>
      <w:r>
        <w:rPr>
          <w:rFonts w:hint="eastAsia"/>
          <w:highlight w:val="none"/>
          <w:lang w:val="en-US" w:eastAsia="zh-CN"/>
        </w:rPr>
        <w:t>，远期选</w:t>
      </w:r>
      <w:r>
        <w:rPr>
          <w:rFonts w:hint="eastAsia"/>
          <w:highlight w:val="none"/>
        </w:rPr>
        <w:t>取</w:t>
      </w:r>
      <w:r>
        <w:rPr>
          <w:rFonts w:hint="eastAsia"/>
          <w:highlight w:val="none"/>
          <w:lang w:val="en-US" w:eastAsia="zh-CN"/>
        </w:rPr>
        <w:t>90</w:t>
      </w:r>
      <w:r>
        <w:t>升/（人</w:t>
      </w:r>
      <w:r>
        <w:rPr>
          <w:rFonts w:hint="eastAsia"/>
        </w:rPr>
        <w:t>·</w:t>
      </w:r>
      <w:r>
        <w:t>日）</w:t>
      </w:r>
      <w:r>
        <w:rPr>
          <w:rFonts w:hint="eastAsia"/>
          <w:highlight w:val="none"/>
          <w:lang w:eastAsia="zh-CN"/>
        </w:rPr>
        <w:t>。</w:t>
      </w:r>
    </w:p>
    <w:p>
      <w:pPr>
        <w:pStyle w:val="7"/>
        <w:rPr>
          <w:rFonts w:hint="eastAsia"/>
        </w:rPr>
      </w:pPr>
      <w:r>
        <w:rPr>
          <w:rFonts w:hint="eastAsia"/>
        </w:rPr>
        <w:t>3.2.</w:t>
      </w:r>
      <w:r>
        <w:rPr>
          <w:rFonts w:hint="eastAsia"/>
          <w:lang w:val="en-US" w:eastAsia="zh-CN"/>
        </w:rPr>
        <w:t>2</w:t>
      </w:r>
      <w:r>
        <w:t>.2</w:t>
      </w:r>
      <w:r>
        <w:rPr>
          <w:rFonts w:hint="eastAsia"/>
        </w:rPr>
        <w:t>人均综合污水指标</w:t>
      </w:r>
    </w:p>
    <w:p>
      <w:pPr>
        <w:pStyle w:val="2"/>
        <w:ind w:firstLine="560"/>
        <w:rPr>
          <w:rFonts w:hint="eastAsia"/>
          <w:highlight w:val="none"/>
        </w:rPr>
      </w:pPr>
      <w:r>
        <w:t>根据</w:t>
      </w:r>
      <w:r>
        <w:rPr>
          <w:rFonts w:hint="eastAsia"/>
        </w:rPr>
        <w:t>《农村生活污水处理工程技术标准》GB/T51347-2019，排放系数取用水</w:t>
      </w:r>
      <w:r>
        <w:rPr>
          <w:rFonts w:hint="eastAsia"/>
          <w:highlight w:val="none"/>
        </w:rPr>
        <w:t>量的4</w:t>
      </w:r>
      <w:r>
        <w:rPr>
          <w:highlight w:val="none"/>
        </w:rPr>
        <w:t>0</w:t>
      </w:r>
      <w:r>
        <w:rPr>
          <w:rFonts w:hint="eastAsia"/>
          <w:highlight w:val="none"/>
        </w:rPr>
        <w:t>%~</w:t>
      </w:r>
      <w:r>
        <w:rPr>
          <w:highlight w:val="none"/>
        </w:rPr>
        <w:t>80</w:t>
      </w:r>
      <w:r>
        <w:rPr>
          <w:rFonts w:hint="eastAsia"/>
          <w:highlight w:val="none"/>
        </w:rPr>
        <w:t>%，结合</w:t>
      </w:r>
      <w:r>
        <w:rPr>
          <w:rFonts w:hint="eastAsia"/>
          <w:highlight w:val="none"/>
          <w:lang w:eastAsia="zh-CN"/>
        </w:rPr>
        <w:t>友好区</w:t>
      </w:r>
      <w:r>
        <w:rPr>
          <w:rFonts w:hint="eastAsia"/>
          <w:highlight w:val="none"/>
        </w:rPr>
        <w:t>的具体条件，本次对于</w:t>
      </w:r>
      <w:r>
        <w:rPr>
          <w:rFonts w:hint="eastAsia"/>
          <w:highlight w:val="none"/>
          <w:lang w:val="en-US" w:eastAsia="zh-CN"/>
        </w:rPr>
        <w:t>友好区的村庄</w:t>
      </w:r>
      <w:r>
        <w:rPr>
          <w:rFonts w:hint="eastAsia"/>
          <w:highlight w:val="none"/>
        </w:rPr>
        <w:t>排放系数选取为</w:t>
      </w:r>
      <w:r>
        <w:rPr>
          <w:rFonts w:hint="eastAsia"/>
          <w:highlight w:val="none"/>
          <w:lang w:val="en-US" w:eastAsia="zh-CN"/>
        </w:rPr>
        <w:t>80%</w:t>
      </w:r>
      <w:r>
        <w:rPr>
          <w:rFonts w:hint="eastAsia"/>
          <w:highlight w:val="none"/>
        </w:rPr>
        <w:t>。</w:t>
      </w:r>
    </w:p>
    <w:p>
      <w:pPr>
        <w:pStyle w:val="7"/>
      </w:pPr>
      <w:r>
        <w:rPr>
          <w:rFonts w:hint="eastAsia"/>
        </w:rPr>
        <w:t>3.2.</w:t>
      </w:r>
      <w:r>
        <w:rPr>
          <w:rFonts w:hint="eastAsia"/>
          <w:lang w:val="en-US" w:eastAsia="zh-CN"/>
        </w:rPr>
        <w:t>2</w:t>
      </w:r>
      <w:r>
        <w:t>.3</w:t>
      </w:r>
      <w:r>
        <w:rPr>
          <w:rFonts w:hint="eastAsia"/>
        </w:rPr>
        <w:t>污水量预测</w:t>
      </w:r>
    </w:p>
    <w:p>
      <w:pPr>
        <w:pStyle w:val="2"/>
        <w:ind w:firstLine="560"/>
      </w:pPr>
      <w:r>
        <w:rPr>
          <w:rFonts w:hint="eastAsia"/>
        </w:rPr>
        <w:t>根据</w:t>
      </w:r>
      <w:r>
        <w:rPr>
          <w:rFonts w:hint="eastAsia"/>
          <w:lang w:eastAsia="zh-CN"/>
        </w:rPr>
        <w:t>友好区</w:t>
      </w:r>
      <w:r>
        <w:rPr>
          <w:rFonts w:hint="eastAsia"/>
        </w:rPr>
        <w:t>各村庄的发展现状，分类确定用水定额及排水定额，结合村庄人口情况，最终预测出</w:t>
      </w:r>
      <w:r>
        <w:rPr>
          <w:rFonts w:hint="eastAsia"/>
          <w:lang w:eastAsia="zh-CN"/>
        </w:rPr>
        <w:t>友好区</w:t>
      </w:r>
      <w:r>
        <w:rPr>
          <w:rFonts w:hint="eastAsia"/>
        </w:rPr>
        <w:t>不同阶段用水及污水情况，预测结果见表3</w:t>
      </w:r>
      <w:r>
        <w:t>-</w:t>
      </w:r>
      <w:r>
        <w:rPr>
          <w:rFonts w:hint="eastAsia"/>
          <w:lang w:val="en-US" w:eastAsia="zh-CN"/>
        </w:rPr>
        <w:t>3</w:t>
      </w:r>
      <w:r>
        <w:rPr>
          <w:rFonts w:hint="eastAsia"/>
        </w:rPr>
        <w:t>。</w:t>
      </w:r>
    </w:p>
    <w:p>
      <w:pPr>
        <w:pStyle w:val="2"/>
        <w:ind w:firstLine="562"/>
        <w:jc w:val="center"/>
        <w:rPr>
          <w:rFonts w:hint="eastAsia"/>
          <w:b/>
          <w:bCs/>
        </w:rPr>
      </w:pPr>
      <w:r>
        <w:rPr>
          <w:rFonts w:hint="eastAsia"/>
          <w:b/>
          <w:bCs/>
        </w:rPr>
        <w:t>表3</w:t>
      </w:r>
      <w:r>
        <w:rPr>
          <w:b/>
          <w:bCs/>
        </w:rPr>
        <w:t>-</w:t>
      </w:r>
      <w:r>
        <w:rPr>
          <w:rFonts w:hint="eastAsia"/>
          <w:b/>
          <w:bCs/>
          <w:lang w:val="en-US" w:eastAsia="zh-CN"/>
        </w:rPr>
        <w:t>3</w:t>
      </w:r>
      <w:r>
        <w:rPr>
          <w:b/>
          <w:bCs/>
        </w:rPr>
        <w:t xml:space="preserve">   </w:t>
      </w:r>
      <w:r>
        <w:rPr>
          <w:rFonts w:hint="eastAsia"/>
          <w:b/>
          <w:bCs/>
          <w:lang w:eastAsia="zh-CN"/>
        </w:rPr>
        <w:t>友好区</w:t>
      </w:r>
      <w:r>
        <w:rPr>
          <w:rFonts w:hint="eastAsia"/>
          <w:b/>
          <w:bCs/>
        </w:rPr>
        <w:t>各村庄用水预测情况</w:t>
      </w:r>
    </w:p>
    <w:tbl>
      <w:tblPr>
        <w:tblStyle w:val="41"/>
        <w:tblW w:w="102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01"/>
        <w:gridCol w:w="1148"/>
        <w:gridCol w:w="1324"/>
        <w:gridCol w:w="1227"/>
        <w:gridCol w:w="1291"/>
        <w:gridCol w:w="1412"/>
        <w:gridCol w:w="1331"/>
        <w:gridCol w:w="1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jc w:val="center"/>
        </w:trPr>
        <w:tc>
          <w:tcPr>
            <w:tcW w:w="1005" w:type="dxa"/>
            <w:tcBorders>
              <w:tl2br w:val="nil"/>
              <w:tr2bl w:val="nil"/>
            </w:tcBorders>
            <w:noWrap w:val="0"/>
            <w:tcMar>
              <w:top w:w="12" w:type="dxa"/>
              <w:left w:w="12" w:type="dxa"/>
              <w:right w:w="12" w:type="dxa"/>
            </w:tcMar>
            <w:vAlign w:val="center"/>
          </w:tcPr>
          <w:p>
            <w:pPr>
              <w:pStyle w:val="25"/>
              <w:bidi w:val="0"/>
              <w:rPr>
                <w:rFonts w:hint="eastAsia"/>
              </w:rPr>
            </w:pPr>
            <w:r>
              <w:rPr>
                <w:rFonts w:hint="eastAsia"/>
                <w:lang w:val="en-US" w:eastAsia="zh-CN"/>
              </w:rPr>
              <w:t>行政村</w:t>
            </w:r>
          </w:p>
        </w:tc>
        <w:tc>
          <w:tcPr>
            <w:tcW w:w="960" w:type="dxa"/>
            <w:tcBorders>
              <w:tl2br w:val="nil"/>
              <w:tr2bl w:val="nil"/>
            </w:tcBorders>
            <w:noWrap w:val="0"/>
            <w:tcMar>
              <w:top w:w="12" w:type="dxa"/>
              <w:left w:w="12" w:type="dxa"/>
              <w:right w:w="12" w:type="dxa"/>
            </w:tcMar>
            <w:vAlign w:val="center"/>
          </w:tcPr>
          <w:p>
            <w:pPr>
              <w:pStyle w:val="25"/>
              <w:bidi w:val="0"/>
              <w:rPr>
                <w:rFonts w:hint="default"/>
                <w:lang w:val="en-US" w:eastAsia="zh-CN"/>
              </w:rPr>
            </w:pPr>
            <w:r>
              <w:rPr>
                <w:rFonts w:hint="eastAsia"/>
                <w:lang w:val="en-US" w:eastAsia="zh-CN"/>
              </w:rPr>
              <w:t>自然屯</w:t>
            </w:r>
          </w:p>
        </w:tc>
        <w:tc>
          <w:tcPr>
            <w:tcW w:w="1107" w:type="dxa"/>
            <w:tcBorders>
              <w:tl2br w:val="nil"/>
              <w:tr2bl w:val="nil"/>
            </w:tcBorders>
            <w:noWrap/>
            <w:tcMar>
              <w:top w:w="12" w:type="dxa"/>
              <w:left w:w="12" w:type="dxa"/>
              <w:right w:w="12" w:type="dxa"/>
            </w:tcMar>
            <w:vAlign w:val="center"/>
          </w:tcPr>
          <w:p>
            <w:pPr>
              <w:pStyle w:val="25"/>
              <w:bidi w:val="0"/>
              <w:rPr>
                <w:rFonts w:hint="eastAsia"/>
                <w:lang w:val="en-US" w:eastAsia="zh-CN"/>
              </w:rPr>
            </w:pPr>
            <w:r>
              <w:rPr>
                <w:rFonts w:hint="eastAsia"/>
                <w:lang w:val="en-US" w:eastAsia="zh-CN"/>
              </w:rPr>
              <w:t>现状用水量m</w:t>
            </w:r>
            <w:r>
              <w:rPr>
                <w:rFonts w:hint="eastAsia"/>
                <w:vertAlign w:val="superscript"/>
                <w:lang w:val="en-US" w:eastAsia="zh-CN"/>
              </w:rPr>
              <w:t>3</w:t>
            </w:r>
            <w:r>
              <w:rPr>
                <w:rFonts w:hint="eastAsia"/>
                <w:lang w:val="en-US" w:eastAsia="zh-CN"/>
              </w:rPr>
              <w:t>/d</w:t>
            </w:r>
          </w:p>
        </w:tc>
        <w:tc>
          <w:tcPr>
            <w:tcW w:w="1026" w:type="dxa"/>
            <w:tcBorders>
              <w:tl2br w:val="nil"/>
              <w:tr2bl w:val="nil"/>
            </w:tcBorders>
            <w:noWrap/>
            <w:tcMar>
              <w:top w:w="12" w:type="dxa"/>
              <w:left w:w="12" w:type="dxa"/>
              <w:right w:w="12" w:type="dxa"/>
            </w:tcMar>
            <w:vAlign w:val="center"/>
          </w:tcPr>
          <w:p>
            <w:pPr>
              <w:pStyle w:val="25"/>
              <w:bidi w:val="0"/>
              <w:rPr>
                <w:rFonts w:hint="eastAsia"/>
                <w:lang w:val="en-US" w:eastAsia="zh-CN"/>
              </w:rPr>
            </w:pPr>
            <w:r>
              <w:rPr>
                <w:rFonts w:hint="eastAsia"/>
                <w:lang w:val="en-US" w:eastAsia="zh-CN"/>
              </w:rPr>
              <w:t>近期用水量m</w:t>
            </w:r>
            <w:r>
              <w:rPr>
                <w:rFonts w:hint="eastAsia"/>
                <w:vertAlign w:val="superscript"/>
                <w:lang w:val="en-US" w:eastAsia="zh-CN"/>
              </w:rPr>
              <w:t>3</w:t>
            </w:r>
            <w:r>
              <w:rPr>
                <w:rFonts w:hint="eastAsia"/>
                <w:lang w:val="en-US" w:eastAsia="zh-CN"/>
              </w:rPr>
              <w:t>/d</w:t>
            </w:r>
          </w:p>
        </w:tc>
        <w:tc>
          <w:tcPr>
            <w:tcW w:w="1080" w:type="dxa"/>
            <w:tcBorders>
              <w:tl2br w:val="nil"/>
              <w:tr2bl w:val="nil"/>
            </w:tcBorders>
            <w:noWrap/>
            <w:tcMar>
              <w:top w:w="12" w:type="dxa"/>
              <w:left w:w="12" w:type="dxa"/>
              <w:right w:w="12" w:type="dxa"/>
            </w:tcMar>
            <w:vAlign w:val="center"/>
          </w:tcPr>
          <w:p>
            <w:pPr>
              <w:pStyle w:val="25"/>
              <w:bidi w:val="0"/>
              <w:rPr>
                <w:rFonts w:hint="eastAsia"/>
                <w:lang w:val="en-US" w:eastAsia="zh-CN"/>
              </w:rPr>
            </w:pPr>
            <w:r>
              <w:rPr>
                <w:rFonts w:hint="eastAsia"/>
                <w:lang w:val="en-US" w:eastAsia="zh-CN"/>
              </w:rPr>
              <w:t>远期用水量m</w:t>
            </w:r>
            <w:r>
              <w:rPr>
                <w:rFonts w:hint="eastAsia"/>
                <w:vertAlign w:val="superscript"/>
                <w:lang w:val="en-US" w:eastAsia="zh-CN"/>
              </w:rPr>
              <w:t>3</w:t>
            </w:r>
            <w:r>
              <w:rPr>
                <w:rFonts w:hint="eastAsia"/>
                <w:lang w:val="en-US" w:eastAsia="zh-CN"/>
              </w:rPr>
              <w:t>/d</w:t>
            </w:r>
          </w:p>
        </w:tc>
        <w:tc>
          <w:tcPr>
            <w:tcW w:w="1181"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现状排水量m</w:t>
            </w:r>
            <w:r>
              <w:rPr>
                <w:rFonts w:hint="eastAsia"/>
                <w:vertAlign w:val="superscript"/>
                <w:lang w:val="en-US" w:eastAsia="zh-CN"/>
              </w:rPr>
              <w:t>3</w:t>
            </w:r>
            <w:r>
              <w:rPr>
                <w:rFonts w:hint="eastAsia"/>
                <w:lang w:val="en-US" w:eastAsia="zh-CN"/>
              </w:rPr>
              <w:t>/d</w:t>
            </w:r>
          </w:p>
        </w:tc>
        <w:tc>
          <w:tcPr>
            <w:tcW w:w="1113"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近期排水量m</w:t>
            </w:r>
            <w:r>
              <w:rPr>
                <w:rFonts w:hint="eastAsia"/>
                <w:vertAlign w:val="superscript"/>
                <w:lang w:val="en-US" w:eastAsia="zh-CN"/>
              </w:rPr>
              <w:t>3</w:t>
            </w:r>
            <w:r>
              <w:rPr>
                <w:rFonts w:hint="eastAsia"/>
                <w:lang w:val="en-US" w:eastAsia="zh-CN"/>
              </w:rPr>
              <w:t>/d</w:t>
            </w:r>
          </w:p>
        </w:tc>
        <w:tc>
          <w:tcPr>
            <w:tcW w:w="1063"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远期排水量m</w:t>
            </w:r>
            <w:r>
              <w:rPr>
                <w:rFonts w:hint="eastAsia"/>
                <w:vertAlign w:val="superscript"/>
                <w:lang w:val="en-US" w:eastAsia="zh-CN"/>
              </w:rPr>
              <w:t>3</w:t>
            </w:r>
            <w:r>
              <w:rPr>
                <w:rFonts w:hint="eastAsia"/>
                <w:lang w:val="en-US"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jc w:val="center"/>
        </w:trPr>
        <w:tc>
          <w:tcPr>
            <w:tcW w:w="1005" w:type="dxa"/>
            <w:tcBorders>
              <w:tl2br w:val="nil"/>
              <w:tr2bl w:val="nil"/>
            </w:tcBorders>
            <w:noWrap w:val="0"/>
            <w:tcMar>
              <w:top w:w="12" w:type="dxa"/>
              <w:left w:w="12" w:type="dxa"/>
              <w:right w:w="12" w:type="dxa"/>
            </w:tcMar>
            <w:vAlign w:val="center"/>
          </w:tcPr>
          <w:p>
            <w:pPr>
              <w:pStyle w:val="25"/>
              <w:bidi w:val="0"/>
              <w:rPr>
                <w:rFonts w:hint="eastAsia"/>
              </w:rPr>
            </w:pPr>
            <w:r>
              <w:rPr>
                <w:rFonts w:hint="eastAsia"/>
                <w:lang w:val="en-US" w:eastAsia="zh-CN"/>
              </w:rPr>
              <w:t>青山村</w:t>
            </w:r>
          </w:p>
        </w:tc>
        <w:tc>
          <w:tcPr>
            <w:tcW w:w="960" w:type="dxa"/>
            <w:tcBorders>
              <w:tl2br w:val="nil"/>
              <w:tr2bl w:val="nil"/>
            </w:tcBorders>
            <w:noWrap w:val="0"/>
            <w:tcMar>
              <w:top w:w="12" w:type="dxa"/>
              <w:left w:w="12" w:type="dxa"/>
              <w:right w:w="12" w:type="dxa"/>
            </w:tcMar>
            <w:vAlign w:val="center"/>
          </w:tcPr>
          <w:p>
            <w:pPr>
              <w:pStyle w:val="25"/>
              <w:bidi w:val="0"/>
              <w:rPr>
                <w:rFonts w:hint="eastAsia"/>
                <w:lang w:val="en-US" w:eastAsia="zh-CN"/>
              </w:rPr>
            </w:pPr>
            <w:r>
              <w:rPr>
                <w:rFonts w:hint="eastAsia"/>
                <w:lang w:val="en-US" w:eastAsia="zh-CN"/>
              </w:rPr>
              <w:t>1队</w:t>
            </w:r>
          </w:p>
        </w:tc>
        <w:tc>
          <w:tcPr>
            <w:tcW w:w="1107" w:type="dxa"/>
            <w:tcBorders>
              <w:tl2br w:val="nil"/>
              <w:tr2bl w:val="nil"/>
            </w:tcBorders>
            <w:noWrap w:val="0"/>
            <w:tcMar>
              <w:top w:w="12" w:type="dxa"/>
              <w:left w:w="12" w:type="dxa"/>
              <w:right w:w="12" w:type="dxa"/>
            </w:tcMar>
            <w:vAlign w:val="center"/>
          </w:tcPr>
          <w:p>
            <w:pPr>
              <w:pStyle w:val="25"/>
              <w:bidi w:val="0"/>
              <w:rPr>
                <w:rFonts w:hint="eastAsia"/>
                <w:lang w:val="en-US" w:eastAsia="zh-CN"/>
              </w:rPr>
            </w:pPr>
            <w:r>
              <w:rPr>
                <w:rFonts w:hint="eastAsia"/>
                <w:lang w:val="en-US" w:eastAsia="zh-CN"/>
              </w:rPr>
              <w:t xml:space="preserve">2.80 </w:t>
            </w:r>
          </w:p>
        </w:tc>
        <w:tc>
          <w:tcPr>
            <w:tcW w:w="1026" w:type="dxa"/>
            <w:tcBorders>
              <w:tl2br w:val="nil"/>
              <w:tr2bl w:val="nil"/>
            </w:tcBorders>
            <w:noWrap w:val="0"/>
            <w:tcMar>
              <w:top w:w="12" w:type="dxa"/>
              <w:left w:w="12" w:type="dxa"/>
              <w:right w:w="12" w:type="dxa"/>
            </w:tcMar>
            <w:vAlign w:val="center"/>
          </w:tcPr>
          <w:p>
            <w:pPr>
              <w:pStyle w:val="25"/>
              <w:bidi w:val="0"/>
              <w:rPr>
                <w:rFonts w:hint="eastAsia"/>
                <w:lang w:val="en-US" w:eastAsia="zh-CN"/>
              </w:rPr>
            </w:pPr>
            <w:r>
              <w:rPr>
                <w:rFonts w:hint="eastAsia"/>
                <w:lang w:val="en-US" w:eastAsia="zh-CN"/>
              </w:rPr>
              <w:t xml:space="preserve">5.86 </w:t>
            </w:r>
          </w:p>
        </w:tc>
        <w:tc>
          <w:tcPr>
            <w:tcW w:w="1080" w:type="dxa"/>
            <w:tcBorders>
              <w:tl2br w:val="nil"/>
              <w:tr2bl w:val="nil"/>
            </w:tcBorders>
            <w:noWrap w:val="0"/>
            <w:tcMar>
              <w:top w:w="12" w:type="dxa"/>
              <w:left w:w="12" w:type="dxa"/>
              <w:right w:w="12" w:type="dxa"/>
            </w:tcMar>
            <w:vAlign w:val="center"/>
          </w:tcPr>
          <w:p>
            <w:pPr>
              <w:pStyle w:val="25"/>
              <w:bidi w:val="0"/>
              <w:rPr>
                <w:rFonts w:hint="eastAsia"/>
                <w:lang w:val="en-US" w:eastAsia="zh-CN"/>
              </w:rPr>
            </w:pPr>
            <w:r>
              <w:rPr>
                <w:rFonts w:hint="eastAsia"/>
                <w:lang w:val="en-US" w:eastAsia="zh-CN"/>
              </w:rPr>
              <w:t xml:space="preserve">5.45 </w:t>
            </w:r>
          </w:p>
        </w:tc>
        <w:tc>
          <w:tcPr>
            <w:tcW w:w="1181" w:type="dxa"/>
            <w:tcBorders>
              <w:tl2br w:val="nil"/>
              <w:tr2bl w:val="nil"/>
            </w:tcBorders>
            <w:noWrap w:val="0"/>
            <w:tcMar>
              <w:top w:w="12" w:type="dxa"/>
              <w:left w:w="12" w:type="dxa"/>
              <w:right w:w="12" w:type="dxa"/>
            </w:tcMar>
            <w:vAlign w:val="center"/>
          </w:tcPr>
          <w:p>
            <w:pPr>
              <w:pStyle w:val="25"/>
              <w:bidi w:val="0"/>
              <w:rPr>
                <w:rFonts w:hint="eastAsia"/>
              </w:rPr>
            </w:pPr>
            <w:r>
              <w:rPr>
                <w:rFonts w:hint="eastAsia"/>
                <w:lang w:val="en-US" w:eastAsia="zh-CN"/>
              </w:rPr>
              <w:t xml:space="preserve">2.24 </w:t>
            </w:r>
          </w:p>
        </w:tc>
        <w:tc>
          <w:tcPr>
            <w:tcW w:w="1113"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4.69 </w:t>
            </w:r>
          </w:p>
        </w:tc>
        <w:tc>
          <w:tcPr>
            <w:tcW w:w="1063"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4.36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jc w:val="center"/>
        </w:trPr>
        <w:tc>
          <w:tcPr>
            <w:tcW w:w="1005" w:type="dxa"/>
            <w:tcBorders>
              <w:tl2br w:val="nil"/>
              <w:tr2bl w:val="nil"/>
            </w:tcBorders>
            <w:noWrap w:val="0"/>
            <w:tcMar>
              <w:top w:w="12" w:type="dxa"/>
              <w:left w:w="12" w:type="dxa"/>
              <w:right w:w="12" w:type="dxa"/>
            </w:tcMar>
            <w:vAlign w:val="center"/>
          </w:tcPr>
          <w:p>
            <w:pPr>
              <w:pStyle w:val="25"/>
              <w:bidi w:val="0"/>
              <w:rPr>
                <w:rFonts w:hint="eastAsia"/>
              </w:rPr>
            </w:pPr>
            <w:r>
              <w:rPr>
                <w:rFonts w:hint="eastAsia"/>
                <w:lang w:val="en-US" w:eastAsia="zh-CN"/>
              </w:rPr>
              <w:t>青山村</w:t>
            </w:r>
          </w:p>
        </w:tc>
        <w:tc>
          <w:tcPr>
            <w:tcW w:w="960" w:type="dxa"/>
            <w:tcBorders>
              <w:tl2br w:val="nil"/>
              <w:tr2bl w:val="nil"/>
            </w:tcBorders>
            <w:noWrap w:val="0"/>
            <w:tcMar>
              <w:top w:w="12" w:type="dxa"/>
              <w:left w:w="12" w:type="dxa"/>
              <w:right w:w="12" w:type="dxa"/>
            </w:tcMar>
            <w:vAlign w:val="center"/>
          </w:tcPr>
          <w:p>
            <w:pPr>
              <w:pStyle w:val="25"/>
              <w:bidi w:val="0"/>
              <w:rPr>
                <w:rFonts w:hint="eastAsia"/>
                <w:lang w:val="en-US" w:eastAsia="zh-CN"/>
              </w:rPr>
            </w:pPr>
            <w:r>
              <w:rPr>
                <w:rFonts w:hint="eastAsia"/>
                <w:lang w:val="en-US" w:eastAsia="zh-CN"/>
              </w:rPr>
              <w:t>2队</w:t>
            </w:r>
          </w:p>
        </w:tc>
        <w:tc>
          <w:tcPr>
            <w:tcW w:w="1107" w:type="dxa"/>
            <w:tcBorders>
              <w:tl2br w:val="nil"/>
              <w:tr2bl w:val="nil"/>
            </w:tcBorders>
            <w:noWrap w:val="0"/>
            <w:tcMar>
              <w:top w:w="12" w:type="dxa"/>
              <w:left w:w="12" w:type="dxa"/>
              <w:right w:w="12" w:type="dxa"/>
            </w:tcMar>
            <w:vAlign w:val="center"/>
          </w:tcPr>
          <w:p>
            <w:pPr>
              <w:pStyle w:val="25"/>
              <w:bidi w:val="0"/>
              <w:rPr>
                <w:rFonts w:hint="eastAsia"/>
                <w:lang w:val="en-US" w:eastAsia="zh-CN"/>
              </w:rPr>
            </w:pPr>
            <w:r>
              <w:rPr>
                <w:rFonts w:hint="eastAsia"/>
                <w:lang w:val="en-US" w:eastAsia="zh-CN"/>
              </w:rPr>
              <w:t xml:space="preserve">6.00 </w:t>
            </w:r>
          </w:p>
        </w:tc>
        <w:tc>
          <w:tcPr>
            <w:tcW w:w="1026" w:type="dxa"/>
            <w:tcBorders>
              <w:tl2br w:val="nil"/>
              <w:tr2bl w:val="nil"/>
            </w:tcBorders>
            <w:noWrap w:val="0"/>
            <w:tcMar>
              <w:top w:w="12" w:type="dxa"/>
              <w:left w:w="12" w:type="dxa"/>
              <w:right w:w="12" w:type="dxa"/>
            </w:tcMar>
            <w:vAlign w:val="center"/>
          </w:tcPr>
          <w:p>
            <w:pPr>
              <w:pStyle w:val="25"/>
              <w:bidi w:val="0"/>
              <w:rPr>
                <w:rFonts w:hint="eastAsia"/>
                <w:lang w:val="en-US" w:eastAsia="zh-CN"/>
              </w:rPr>
            </w:pPr>
            <w:r>
              <w:rPr>
                <w:rFonts w:hint="eastAsia"/>
                <w:lang w:val="en-US" w:eastAsia="zh-CN"/>
              </w:rPr>
              <w:t xml:space="preserve">12.56 </w:t>
            </w:r>
          </w:p>
        </w:tc>
        <w:tc>
          <w:tcPr>
            <w:tcW w:w="1080" w:type="dxa"/>
            <w:tcBorders>
              <w:tl2br w:val="nil"/>
              <w:tr2bl w:val="nil"/>
            </w:tcBorders>
            <w:noWrap w:val="0"/>
            <w:tcMar>
              <w:top w:w="12" w:type="dxa"/>
              <w:left w:w="12" w:type="dxa"/>
              <w:right w:w="12" w:type="dxa"/>
            </w:tcMar>
            <w:vAlign w:val="center"/>
          </w:tcPr>
          <w:p>
            <w:pPr>
              <w:pStyle w:val="25"/>
              <w:bidi w:val="0"/>
              <w:rPr>
                <w:rFonts w:hint="eastAsia"/>
                <w:lang w:val="en-US" w:eastAsia="zh-CN"/>
              </w:rPr>
            </w:pPr>
            <w:r>
              <w:rPr>
                <w:rFonts w:hint="eastAsia"/>
                <w:lang w:val="en-US" w:eastAsia="zh-CN"/>
              </w:rPr>
              <w:t xml:space="preserve">11.69 </w:t>
            </w:r>
          </w:p>
        </w:tc>
        <w:tc>
          <w:tcPr>
            <w:tcW w:w="1181" w:type="dxa"/>
            <w:tcBorders>
              <w:tl2br w:val="nil"/>
              <w:tr2bl w:val="nil"/>
            </w:tcBorders>
            <w:noWrap w:val="0"/>
            <w:tcMar>
              <w:top w:w="12" w:type="dxa"/>
              <w:left w:w="12" w:type="dxa"/>
              <w:right w:w="12" w:type="dxa"/>
            </w:tcMar>
            <w:vAlign w:val="center"/>
          </w:tcPr>
          <w:p>
            <w:pPr>
              <w:pStyle w:val="25"/>
              <w:bidi w:val="0"/>
              <w:rPr>
                <w:rFonts w:hint="eastAsia"/>
              </w:rPr>
            </w:pPr>
            <w:r>
              <w:rPr>
                <w:rFonts w:hint="eastAsia"/>
                <w:lang w:val="en-US" w:eastAsia="zh-CN"/>
              </w:rPr>
              <w:t xml:space="preserve">4.80 </w:t>
            </w:r>
          </w:p>
        </w:tc>
        <w:tc>
          <w:tcPr>
            <w:tcW w:w="1113"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10.05 </w:t>
            </w:r>
          </w:p>
        </w:tc>
        <w:tc>
          <w:tcPr>
            <w:tcW w:w="1063"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9.35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jc w:val="center"/>
        </w:trPr>
        <w:tc>
          <w:tcPr>
            <w:tcW w:w="1005" w:type="dxa"/>
            <w:tcBorders>
              <w:tl2br w:val="nil"/>
              <w:tr2bl w:val="nil"/>
            </w:tcBorders>
            <w:noWrap w:val="0"/>
            <w:tcMar>
              <w:top w:w="12" w:type="dxa"/>
              <w:left w:w="12" w:type="dxa"/>
              <w:right w:w="12" w:type="dxa"/>
            </w:tcMar>
            <w:vAlign w:val="center"/>
          </w:tcPr>
          <w:p>
            <w:pPr>
              <w:pStyle w:val="25"/>
              <w:bidi w:val="0"/>
              <w:rPr>
                <w:rFonts w:hint="eastAsia"/>
              </w:rPr>
            </w:pPr>
            <w:r>
              <w:rPr>
                <w:rFonts w:hint="eastAsia"/>
                <w:lang w:val="en-US" w:eastAsia="zh-CN"/>
              </w:rPr>
              <w:t>青山村</w:t>
            </w:r>
          </w:p>
        </w:tc>
        <w:tc>
          <w:tcPr>
            <w:tcW w:w="960" w:type="dxa"/>
            <w:tcBorders>
              <w:tl2br w:val="nil"/>
              <w:tr2bl w:val="nil"/>
            </w:tcBorders>
            <w:noWrap w:val="0"/>
            <w:tcMar>
              <w:top w:w="12" w:type="dxa"/>
              <w:left w:w="12" w:type="dxa"/>
              <w:right w:w="12" w:type="dxa"/>
            </w:tcMar>
            <w:vAlign w:val="center"/>
          </w:tcPr>
          <w:p>
            <w:pPr>
              <w:pStyle w:val="25"/>
              <w:bidi w:val="0"/>
              <w:rPr>
                <w:rFonts w:hint="eastAsia"/>
                <w:lang w:val="en-US" w:eastAsia="zh-CN"/>
              </w:rPr>
            </w:pPr>
            <w:r>
              <w:rPr>
                <w:rFonts w:hint="eastAsia"/>
                <w:lang w:val="en-US" w:eastAsia="zh-CN"/>
              </w:rPr>
              <w:t>3队</w:t>
            </w:r>
          </w:p>
        </w:tc>
        <w:tc>
          <w:tcPr>
            <w:tcW w:w="1107" w:type="dxa"/>
            <w:tcBorders>
              <w:tl2br w:val="nil"/>
              <w:tr2bl w:val="nil"/>
            </w:tcBorders>
            <w:noWrap w:val="0"/>
            <w:tcMar>
              <w:top w:w="12" w:type="dxa"/>
              <w:left w:w="12" w:type="dxa"/>
              <w:right w:w="12" w:type="dxa"/>
            </w:tcMar>
            <w:vAlign w:val="center"/>
          </w:tcPr>
          <w:p>
            <w:pPr>
              <w:pStyle w:val="25"/>
              <w:bidi w:val="0"/>
              <w:rPr>
                <w:rFonts w:hint="eastAsia"/>
                <w:lang w:val="en-US" w:eastAsia="zh-CN"/>
              </w:rPr>
            </w:pPr>
            <w:r>
              <w:rPr>
                <w:rFonts w:hint="eastAsia"/>
                <w:lang w:val="en-US" w:eastAsia="zh-CN"/>
              </w:rPr>
              <w:t xml:space="preserve">2.96 </w:t>
            </w:r>
          </w:p>
        </w:tc>
        <w:tc>
          <w:tcPr>
            <w:tcW w:w="1026" w:type="dxa"/>
            <w:tcBorders>
              <w:tl2br w:val="nil"/>
              <w:tr2bl w:val="nil"/>
            </w:tcBorders>
            <w:noWrap w:val="0"/>
            <w:tcMar>
              <w:top w:w="12" w:type="dxa"/>
              <w:left w:w="12" w:type="dxa"/>
              <w:right w:w="12" w:type="dxa"/>
            </w:tcMar>
            <w:vAlign w:val="center"/>
          </w:tcPr>
          <w:p>
            <w:pPr>
              <w:pStyle w:val="25"/>
              <w:bidi w:val="0"/>
              <w:rPr>
                <w:rFonts w:hint="eastAsia"/>
                <w:lang w:val="en-US" w:eastAsia="zh-CN"/>
              </w:rPr>
            </w:pPr>
            <w:r>
              <w:rPr>
                <w:rFonts w:hint="eastAsia"/>
                <w:lang w:val="en-US" w:eastAsia="zh-CN"/>
              </w:rPr>
              <w:t xml:space="preserve">6.20 </w:t>
            </w:r>
          </w:p>
        </w:tc>
        <w:tc>
          <w:tcPr>
            <w:tcW w:w="1080" w:type="dxa"/>
            <w:tcBorders>
              <w:tl2br w:val="nil"/>
              <w:tr2bl w:val="nil"/>
            </w:tcBorders>
            <w:noWrap w:val="0"/>
            <w:tcMar>
              <w:top w:w="12" w:type="dxa"/>
              <w:left w:w="12" w:type="dxa"/>
              <w:right w:w="12" w:type="dxa"/>
            </w:tcMar>
            <w:vAlign w:val="center"/>
          </w:tcPr>
          <w:p>
            <w:pPr>
              <w:pStyle w:val="25"/>
              <w:bidi w:val="0"/>
              <w:rPr>
                <w:rFonts w:hint="eastAsia"/>
                <w:lang w:val="en-US" w:eastAsia="zh-CN"/>
              </w:rPr>
            </w:pPr>
            <w:r>
              <w:rPr>
                <w:rFonts w:hint="eastAsia"/>
                <w:lang w:val="en-US" w:eastAsia="zh-CN"/>
              </w:rPr>
              <w:t xml:space="preserve">5.77 </w:t>
            </w:r>
          </w:p>
        </w:tc>
        <w:tc>
          <w:tcPr>
            <w:tcW w:w="1181" w:type="dxa"/>
            <w:tcBorders>
              <w:tl2br w:val="nil"/>
              <w:tr2bl w:val="nil"/>
            </w:tcBorders>
            <w:noWrap w:val="0"/>
            <w:tcMar>
              <w:top w:w="12" w:type="dxa"/>
              <w:left w:w="12" w:type="dxa"/>
              <w:right w:w="12" w:type="dxa"/>
            </w:tcMar>
            <w:vAlign w:val="center"/>
          </w:tcPr>
          <w:p>
            <w:pPr>
              <w:pStyle w:val="25"/>
              <w:bidi w:val="0"/>
              <w:rPr>
                <w:rFonts w:hint="eastAsia"/>
              </w:rPr>
            </w:pPr>
            <w:r>
              <w:rPr>
                <w:rFonts w:hint="eastAsia"/>
                <w:lang w:val="en-US" w:eastAsia="zh-CN"/>
              </w:rPr>
              <w:t xml:space="preserve">2.37 </w:t>
            </w:r>
          </w:p>
        </w:tc>
        <w:tc>
          <w:tcPr>
            <w:tcW w:w="1113"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4.96 </w:t>
            </w:r>
          </w:p>
        </w:tc>
        <w:tc>
          <w:tcPr>
            <w:tcW w:w="1063"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4.61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jc w:val="center"/>
        </w:trPr>
        <w:tc>
          <w:tcPr>
            <w:tcW w:w="1005" w:type="dxa"/>
            <w:tcBorders>
              <w:tl2br w:val="nil"/>
              <w:tr2bl w:val="nil"/>
            </w:tcBorders>
            <w:noWrap w:val="0"/>
            <w:tcMar>
              <w:top w:w="12" w:type="dxa"/>
              <w:left w:w="12" w:type="dxa"/>
              <w:right w:w="12" w:type="dxa"/>
            </w:tcMar>
            <w:vAlign w:val="center"/>
          </w:tcPr>
          <w:p>
            <w:pPr>
              <w:pStyle w:val="25"/>
              <w:bidi w:val="0"/>
              <w:rPr>
                <w:rFonts w:hint="eastAsia"/>
              </w:rPr>
            </w:pPr>
            <w:r>
              <w:rPr>
                <w:rFonts w:hint="eastAsia"/>
                <w:lang w:val="en-US" w:eastAsia="zh-CN"/>
              </w:rPr>
              <w:t>爱国村</w:t>
            </w:r>
          </w:p>
        </w:tc>
        <w:tc>
          <w:tcPr>
            <w:tcW w:w="960" w:type="dxa"/>
            <w:tcBorders>
              <w:tl2br w:val="nil"/>
              <w:tr2bl w:val="nil"/>
            </w:tcBorders>
            <w:noWrap w:val="0"/>
            <w:tcMar>
              <w:top w:w="12" w:type="dxa"/>
              <w:left w:w="12" w:type="dxa"/>
              <w:right w:w="12" w:type="dxa"/>
            </w:tcMar>
            <w:vAlign w:val="center"/>
          </w:tcPr>
          <w:p>
            <w:pPr>
              <w:pStyle w:val="25"/>
              <w:bidi w:val="0"/>
              <w:rPr>
                <w:rFonts w:hint="eastAsia"/>
                <w:lang w:val="en-US" w:eastAsia="zh-CN"/>
              </w:rPr>
            </w:pPr>
            <w:r>
              <w:rPr>
                <w:rFonts w:hint="eastAsia"/>
                <w:lang w:val="en-US" w:eastAsia="zh-CN"/>
              </w:rPr>
              <w:t>1队</w:t>
            </w:r>
          </w:p>
        </w:tc>
        <w:tc>
          <w:tcPr>
            <w:tcW w:w="1107" w:type="dxa"/>
            <w:tcBorders>
              <w:tl2br w:val="nil"/>
              <w:tr2bl w:val="nil"/>
            </w:tcBorders>
            <w:noWrap w:val="0"/>
            <w:tcMar>
              <w:top w:w="12" w:type="dxa"/>
              <w:left w:w="12" w:type="dxa"/>
              <w:right w:w="12" w:type="dxa"/>
            </w:tcMar>
            <w:vAlign w:val="center"/>
          </w:tcPr>
          <w:p>
            <w:pPr>
              <w:pStyle w:val="25"/>
              <w:bidi w:val="0"/>
              <w:rPr>
                <w:rFonts w:hint="eastAsia"/>
                <w:lang w:val="en-US" w:eastAsia="zh-CN"/>
              </w:rPr>
            </w:pPr>
            <w:r>
              <w:rPr>
                <w:rFonts w:hint="eastAsia"/>
                <w:lang w:val="en-US" w:eastAsia="zh-CN"/>
              </w:rPr>
              <w:t xml:space="preserve">1.40 </w:t>
            </w:r>
          </w:p>
        </w:tc>
        <w:tc>
          <w:tcPr>
            <w:tcW w:w="1026" w:type="dxa"/>
            <w:tcBorders>
              <w:tl2br w:val="nil"/>
              <w:tr2bl w:val="nil"/>
            </w:tcBorders>
            <w:noWrap w:val="0"/>
            <w:tcMar>
              <w:top w:w="12" w:type="dxa"/>
              <w:left w:w="12" w:type="dxa"/>
              <w:right w:w="12" w:type="dxa"/>
            </w:tcMar>
            <w:vAlign w:val="center"/>
          </w:tcPr>
          <w:p>
            <w:pPr>
              <w:pStyle w:val="25"/>
              <w:bidi w:val="0"/>
              <w:rPr>
                <w:rFonts w:hint="eastAsia"/>
                <w:lang w:val="en-US" w:eastAsia="zh-CN"/>
              </w:rPr>
            </w:pPr>
            <w:r>
              <w:rPr>
                <w:rFonts w:hint="eastAsia"/>
                <w:lang w:val="en-US" w:eastAsia="zh-CN"/>
              </w:rPr>
              <w:t xml:space="preserve">2.93 </w:t>
            </w:r>
          </w:p>
        </w:tc>
        <w:tc>
          <w:tcPr>
            <w:tcW w:w="1080" w:type="dxa"/>
            <w:tcBorders>
              <w:tl2br w:val="nil"/>
              <w:tr2bl w:val="nil"/>
            </w:tcBorders>
            <w:noWrap w:val="0"/>
            <w:tcMar>
              <w:top w:w="12" w:type="dxa"/>
              <w:left w:w="12" w:type="dxa"/>
              <w:right w:w="12" w:type="dxa"/>
            </w:tcMar>
            <w:vAlign w:val="center"/>
          </w:tcPr>
          <w:p>
            <w:pPr>
              <w:pStyle w:val="25"/>
              <w:bidi w:val="0"/>
              <w:rPr>
                <w:rFonts w:hint="eastAsia"/>
                <w:lang w:val="en-US" w:eastAsia="zh-CN"/>
              </w:rPr>
            </w:pPr>
            <w:r>
              <w:rPr>
                <w:rFonts w:hint="eastAsia"/>
                <w:lang w:val="en-US" w:eastAsia="zh-CN"/>
              </w:rPr>
              <w:t xml:space="preserve">2.73 </w:t>
            </w:r>
          </w:p>
        </w:tc>
        <w:tc>
          <w:tcPr>
            <w:tcW w:w="1181" w:type="dxa"/>
            <w:tcBorders>
              <w:tl2br w:val="nil"/>
              <w:tr2bl w:val="nil"/>
            </w:tcBorders>
            <w:noWrap w:val="0"/>
            <w:tcMar>
              <w:top w:w="12" w:type="dxa"/>
              <w:left w:w="12" w:type="dxa"/>
              <w:right w:w="12" w:type="dxa"/>
            </w:tcMar>
            <w:vAlign w:val="center"/>
          </w:tcPr>
          <w:p>
            <w:pPr>
              <w:pStyle w:val="25"/>
              <w:bidi w:val="0"/>
              <w:rPr>
                <w:rFonts w:hint="eastAsia"/>
              </w:rPr>
            </w:pPr>
            <w:r>
              <w:rPr>
                <w:rFonts w:hint="eastAsia"/>
                <w:lang w:val="en-US" w:eastAsia="zh-CN"/>
              </w:rPr>
              <w:t xml:space="preserve">1.12 </w:t>
            </w:r>
          </w:p>
        </w:tc>
        <w:tc>
          <w:tcPr>
            <w:tcW w:w="1113"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2.34 </w:t>
            </w:r>
          </w:p>
        </w:tc>
        <w:tc>
          <w:tcPr>
            <w:tcW w:w="1063"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2.18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jc w:val="center"/>
        </w:trPr>
        <w:tc>
          <w:tcPr>
            <w:tcW w:w="1005" w:type="dxa"/>
            <w:tcBorders>
              <w:tl2br w:val="nil"/>
              <w:tr2bl w:val="nil"/>
            </w:tcBorders>
            <w:noWrap w:val="0"/>
            <w:tcMar>
              <w:top w:w="12" w:type="dxa"/>
              <w:left w:w="12" w:type="dxa"/>
              <w:right w:w="12" w:type="dxa"/>
            </w:tcMar>
            <w:vAlign w:val="center"/>
          </w:tcPr>
          <w:p>
            <w:pPr>
              <w:pStyle w:val="25"/>
              <w:bidi w:val="0"/>
              <w:rPr>
                <w:rFonts w:hint="eastAsia"/>
              </w:rPr>
            </w:pPr>
            <w:r>
              <w:rPr>
                <w:rFonts w:hint="eastAsia"/>
                <w:lang w:val="en-US" w:eastAsia="zh-CN"/>
              </w:rPr>
              <w:t>爱国村</w:t>
            </w:r>
          </w:p>
        </w:tc>
        <w:tc>
          <w:tcPr>
            <w:tcW w:w="960" w:type="dxa"/>
            <w:tcBorders>
              <w:tl2br w:val="nil"/>
              <w:tr2bl w:val="nil"/>
            </w:tcBorders>
            <w:noWrap w:val="0"/>
            <w:tcMar>
              <w:top w:w="12" w:type="dxa"/>
              <w:left w:w="12" w:type="dxa"/>
              <w:right w:w="12" w:type="dxa"/>
            </w:tcMar>
            <w:vAlign w:val="center"/>
          </w:tcPr>
          <w:p>
            <w:pPr>
              <w:pStyle w:val="25"/>
              <w:bidi w:val="0"/>
              <w:rPr>
                <w:rFonts w:hint="eastAsia"/>
                <w:lang w:val="en-US" w:eastAsia="zh-CN"/>
              </w:rPr>
            </w:pPr>
            <w:r>
              <w:rPr>
                <w:rFonts w:hint="eastAsia"/>
                <w:lang w:val="en-US" w:eastAsia="zh-CN"/>
              </w:rPr>
              <w:t>2队</w:t>
            </w:r>
          </w:p>
        </w:tc>
        <w:tc>
          <w:tcPr>
            <w:tcW w:w="1107" w:type="dxa"/>
            <w:tcBorders>
              <w:tl2br w:val="nil"/>
              <w:tr2bl w:val="nil"/>
            </w:tcBorders>
            <w:noWrap w:val="0"/>
            <w:tcMar>
              <w:top w:w="12" w:type="dxa"/>
              <w:left w:w="12" w:type="dxa"/>
              <w:right w:w="12" w:type="dxa"/>
            </w:tcMar>
            <w:vAlign w:val="center"/>
          </w:tcPr>
          <w:p>
            <w:pPr>
              <w:pStyle w:val="25"/>
              <w:bidi w:val="0"/>
              <w:rPr>
                <w:rFonts w:hint="eastAsia"/>
                <w:lang w:val="en-US" w:eastAsia="zh-CN"/>
              </w:rPr>
            </w:pPr>
            <w:r>
              <w:rPr>
                <w:rFonts w:hint="eastAsia"/>
                <w:lang w:val="en-US" w:eastAsia="zh-CN"/>
              </w:rPr>
              <w:t xml:space="preserve">4.40 </w:t>
            </w:r>
          </w:p>
        </w:tc>
        <w:tc>
          <w:tcPr>
            <w:tcW w:w="1026" w:type="dxa"/>
            <w:tcBorders>
              <w:tl2br w:val="nil"/>
              <w:tr2bl w:val="nil"/>
            </w:tcBorders>
            <w:noWrap w:val="0"/>
            <w:tcMar>
              <w:top w:w="12" w:type="dxa"/>
              <w:left w:w="12" w:type="dxa"/>
              <w:right w:w="12" w:type="dxa"/>
            </w:tcMar>
            <w:vAlign w:val="center"/>
          </w:tcPr>
          <w:p>
            <w:pPr>
              <w:pStyle w:val="25"/>
              <w:bidi w:val="0"/>
              <w:rPr>
                <w:rFonts w:hint="eastAsia"/>
                <w:lang w:val="en-US" w:eastAsia="zh-CN"/>
              </w:rPr>
            </w:pPr>
            <w:r>
              <w:rPr>
                <w:rFonts w:hint="eastAsia"/>
                <w:lang w:val="en-US" w:eastAsia="zh-CN"/>
              </w:rPr>
              <w:t xml:space="preserve">9.21 </w:t>
            </w:r>
          </w:p>
        </w:tc>
        <w:tc>
          <w:tcPr>
            <w:tcW w:w="1080" w:type="dxa"/>
            <w:tcBorders>
              <w:tl2br w:val="nil"/>
              <w:tr2bl w:val="nil"/>
            </w:tcBorders>
            <w:noWrap w:val="0"/>
            <w:tcMar>
              <w:top w:w="12" w:type="dxa"/>
              <w:left w:w="12" w:type="dxa"/>
              <w:right w:w="12" w:type="dxa"/>
            </w:tcMar>
            <w:vAlign w:val="center"/>
          </w:tcPr>
          <w:p>
            <w:pPr>
              <w:pStyle w:val="25"/>
              <w:bidi w:val="0"/>
              <w:rPr>
                <w:rFonts w:hint="eastAsia"/>
                <w:lang w:val="en-US" w:eastAsia="zh-CN"/>
              </w:rPr>
            </w:pPr>
            <w:r>
              <w:rPr>
                <w:rFonts w:hint="eastAsia"/>
                <w:lang w:val="en-US" w:eastAsia="zh-CN"/>
              </w:rPr>
              <w:t xml:space="preserve">8.57 </w:t>
            </w:r>
          </w:p>
        </w:tc>
        <w:tc>
          <w:tcPr>
            <w:tcW w:w="1181" w:type="dxa"/>
            <w:tcBorders>
              <w:tl2br w:val="nil"/>
              <w:tr2bl w:val="nil"/>
            </w:tcBorders>
            <w:noWrap w:val="0"/>
            <w:tcMar>
              <w:top w:w="12" w:type="dxa"/>
              <w:left w:w="12" w:type="dxa"/>
              <w:right w:w="12" w:type="dxa"/>
            </w:tcMar>
            <w:vAlign w:val="center"/>
          </w:tcPr>
          <w:p>
            <w:pPr>
              <w:pStyle w:val="25"/>
              <w:bidi w:val="0"/>
              <w:rPr>
                <w:rFonts w:hint="eastAsia"/>
              </w:rPr>
            </w:pPr>
            <w:r>
              <w:rPr>
                <w:rFonts w:hint="eastAsia"/>
                <w:lang w:val="en-US" w:eastAsia="zh-CN"/>
              </w:rPr>
              <w:t xml:space="preserve">3.52 </w:t>
            </w:r>
          </w:p>
        </w:tc>
        <w:tc>
          <w:tcPr>
            <w:tcW w:w="1113"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7.37 </w:t>
            </w:r>
          </w:p>
        </w:tc>
        <w:tc>
          <w:tcPr>
            <w:tcW w:w="1063"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6.86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jc w:val="center"/>
        </w:trPr>
        <w:tc>
          <w:tcPr>
            <w:tcW w:w="1005" w:type="dxa"/>
            <w:tcBorders>
              <w:tl2br w:val="nil"/>
              <w:tr2bl w:val="nil"/>
            </w:tcBorders>
            <w:noWrap w:val="0"/>
            <w:tcMar>
              <w:top w:w="12" w:type="dxa"/>
              <w:left w:w="12" w:type="dxa"/>
              <w:right w:w="12" w:type="dxa"/>
            </w:tcMar>
            <w:vAlign w:val="center"/>
          </w:tcPr>
          <w:p>
            <w:pPr>
              <w:pStyle w:val="25"/>
              <w:bidi w:val="0"/>
              <w:rPr>
                <w:rFonts w:hint="eastAsia"/>
              </w:rPr>
            </w:pPr>
            <w:r>
              <w:rPr>
                <w:rFonts w:hint="eastAsia"/>
                <w:lang w:val="en-US" w:eastAsia="zh-CN"/>
              </w:rPr>
              <w:t>曙光村</w:t>
            </w:r>
          </w:p>
        </w:tc>
        <w:tc>
          <w:tcPr>
            <w:tcW w:w="960" w:type="dxa"/>
            <w:tcBorders>
              <w:tl2br w:val="nil"/>
              <w:tr2bl w:val="nil"/>
            </w:tcBorders>
            <w:noWrap w:val="0"/>
            <w:tcMar>
              <w:top w:w="12" w:type="dxa"/>
              <w:left w:w="12" w:type="dxa"/>
              <w:right w:w="12" w:type="dxa"/>
            </w:tcMar>
            <w:vAlign w:val="center"/>
          </w:tcPr>
          <w:p>
            <w:pPr>
              <w:pStyle w:val="25"/>
              <w:bidi w:val="0"/>
              <w:rPr>
                <w:rFonts w:hint="eastAsia"/>
                <w:lang w:val="en-US" w:eastAsia="zh-CN"/>
              </w:rPr>
            </w:pPr>
            <w:r>
              <w:rPr>
                <w:rFonts w:hint="eastAsia"/>
                <w:lang w:val="en-US" w:eastAsia="zh-CN"/>
              </w:rPr>
              <w:t>1队</w:t>
            </w:r>
          </w:p>
        </w:tc>
        <w:tc>
          <w:tcPr>
            <w:tcW w:w="1107" w:type="dxa"/>
            <w:tcBorders>
              <w:tl2br w:val="nil"/>
              <w:tr2bl w:val="nil"/>
            </w:tcBorders>
            <w:noWrap w:val="0"/>
            <w:tcMar>
              <w:top w:w="12" w:type="dxa"/>
              <w:left w:w="12" w:type="dxa"/>
              <w:right w:w="12" w:type="dxa"/>
            </w:tcMar>
            <w:vAlign w:val="center"/>
          </w:tcPr>
          <w:p>
            <w:pPr>
              <w:pStyle w:val="25"/>
              <w:bidi w:val="0"/>
              <w:rPr>
                <w:rFonts w:hint="eastAsia"/>
                <w:lang w:val="en-US" w:eastAsia="zh-CN"/>
              </w:rPr>
            </w:pPr>
            <w:r>
              <w:rPr>
                <w:rFonts w:hint="eastAsia"/>
                <w:lang w:val="en-US" w:eastAsia="zh-CN"/>
              </w:rPr>
              <w:t xml:space="preserve">1.92 </w:t>
            </w:r>
          </w:p>
        </w:tc>
        <w:tc>
          <w:tcPr>
            <w:tcW w:w="1026" w:type="dxa"/>
            <w:tcBorders>
              <w:tl2br w:val="nil"/>
              <w:tr2bl w:val="nil"/>
            </w:tcBorders>
            <w:noWrap w:val="0"/>
            <w:tcMar>
              <w:top w:w="12" w:type="dxa"/>
              <w:left w:w="12" w:type="dxa"/>
              <w:right w:w="12" w:type="dxa"/>
            </w:tcMar>
            <w:vAlign w:val="center"/>
          </w:tcPr>
          <w:p>
            <w:pPr>
              <w:pStyle w:val="25"/>
              <w:bidi w:val="0"/>
              <w:rPr>
                <w:rFonts w:hint="eastAsia"/>
                <w:lang w:val="en-US" w:eastAsia="zh-CN"/>
              </w:rPr>
            </w:pPr>
            <w:r>
              <w:rPr>
                <w:rFonts w:hint="eastAsia"/>
                <w:lang w:val="en-US" w:eastAsia="zh-CN"/>
              </w:rPr>
              <w:t xml:space="preserve">4.02 </w:t>
            </w:r>
          </w:p>
        </w:tc>
        <w:tc>
          <w:tcPr>
            <w:tcW w:w="1080" w:type="dxa"/>
            <w:tcBorders>
              <w:tl2br w:val="nil"/>
              <w:tr2bl w:val="nil"/>
            </w:tcBorders>
            <w:noWrap w:val="0"/>
            <w:tcMar>
              <w:top w:w="12" w:type="dxa"/>
              <w:left w:w="12" w:type="dxa"/>
              <w:right w:w="12" w:type="dxa"/>
            </w:tcMar>
            <w:vAlign w:val="center"/>
          </w:tcPr>
          <w:p>
            <w:pPr>
              <w:pStyle w:val="25"/>
              <w:bidi w:val="0"/>
              <w:rPr>
                <w:rFonts w:hint="eastAsia"/>
                <w:lang w:val="en-US" w:eastAsia="zh-CN"/>
              </w:rPr>
            </w:pPr>
            <w:r>
              <w:rPr>
                <w:rFonts w:hint="eastAsia"/>
                <w:lang w:val="en-US" w:eastAsia="zh-CN"/>
              </w:rPr>
              <w:t xml:space="preserve">3.74 </w:t>
            </w:r>
          </w:p>
        </w:tc>
        <w:tc>
          <w:tcPr>
            <w:tcW w:w="1181" w:type="dxa"/>
            <w:tcBorders>
              <w:tl2br w:val="nil"/>
              <w:tr2bl w:val="nil"/>
            </w:tcBorders>
            <w:noWrap w:val="0"/>
            <w:tcMar>
              <w:top w:w="12" w:type="dxa"/>
              <w:left w:w="12" w:type="dxa"/>
              <w:right w:w="12" w:type="dxa"/>
            </w:tcMar>
            <w:vAlign w:val="center"/>
          </w:tcPr>
          <w:p>
            <w:pPr>
              <w:pStyle w:val="25"/>
              <w:bidi w:val="0"/>
              <w:rPr>
                <w:rFonts w:hint="eastAsia"/>
              </w:rPr>
            </w:pPr>
            <w:r>
              <w:rPr>
                <w:rFonts w:hint="eastAsia"/>
                <w:lang w:val="en-US" w:eastAsia="zh-CN"/>
              </w:rPr>
              <w:t xml:space="preserve">1.54 </w:t>
            </w:r>
          </w:p>
        </w:tc>
        <w:tc>
          <w:tcPr>
            <w:tcW w:w="1113"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3.22 </w:t>
            </w:r>
          </w:p>
        </w:tc>
        <w:tc>
          <w:tcPr>
            <w:tcW w:w="1063"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2.99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jc w:val="center"/>
        </w:trPr>
        <w:tc>
          <w:tcPr>
            <w:tcW w:w="1005" w:type="dxa"/>
            <w:tcBorders>
              <w:tl2br w:val="nil"/>
              <w:tr2bl w:val="nil"/>
            </w:tcBorders>
            <w:noWrap w:val="0"/>
            <w:tcMar>
              <w:top w:w="12" w:type="dxa"/>
              <w:left w:w="12" w:type="dxa"/>
              <w:right w:w="12" w:type="dxa"/>
            </w:tcMar>
            <w:vAlign w:val="center"/>
          </w:tcPr>
          <w:p>
            <w:pPr>
              <w:pStyle w:val="25"/>
              <w:bidi w:val="0"/>
              <w:rPr>
                <w:rFonts w:hint="eastAsia"/>
              </w:rPr>
            </w:pPr>
            <w:r>
              <w:rPr>
                <w:rFonts w:hint="eastAsia"/>
                <w:lang w:val="en-US" w:eastAsia="zh-CN"/>
              </w:rPr>
              <w:t>曙光村</w:t>
            </w:r>
          </w:p>
        </w:tc>
        <w:tc>
          <w:tcPr>
            <w:tcW w:w="960" w:type="dxa"/>
            <w:tcBorders>
              <w:tl2br w:val="nil"/>
              <w:tr2bl w:val="nil"/>
            </w:tcBorders>
            <w:noWrap w:val="0"/>
            <w:tcMar>
              <w:top w:w="12" w:type="dxa"/>
              <w:left w:w="12" w:type="dxa"/>
              <w:right w:w="12" w:type="dxa"/>
            </w:tcMar>
            <w:vAlign w:val="center"/>
          </w:tcPr>
          <w:p>
            <w:pPr>
              <w:pStyle w:val="25"/>
              <w:bidi w:val="0"/>
              <w:rPr>
                <w:rFonts w:hint="eastAsia"/>
                <w:lang w:val="en-US" w:eastAsia="zh-CN"/>
              </w:rPr>
            </w:pPr>
            <w:r>
              <w:rPr>
                <w:rFonts w:hint="eastAsia"/>
                <w:lang w:val="en-US" w:eastAsia="zh-CN"/>
              </w:rPr>
              <w:t>2队</w:t>
            </w:r>
          </w:p>
        </w:tc>
        <w:tc>
          <w:tcPr>
            <w:tcW w:w="1107" w:type="dxa"/>
            <w:tcBorders>
              <w:tl2br w:val="nil"/>
              <w:tr2bl w:val="nil"/>
            </w:tcBorders>
            <w:noWrap w:val="0"/>
            <w:tcMar>
              <w:top w:w="12" w:type="dxa"/>
              <w:left w:w="12" w:type="dxa"/>
              <w:right w:w="12" w:type="dxa"/>
            </w:tcMar>
            <w:vAlign w:val="center"/>
          </w:tcPr>
          <w:p>
            <w:pPr>
              <w:pStyle w:val="25"/>
              <w:bidi w:val="0"/>
              <w:rPr>
                <w:rFonts w:hint="eastAsia"/>
                <w:lang w:val="en-US" w:eastAsia="zh-CN"/>
              </w:rPr>
            </w:pPr>
            <w:r>
              <w:rPr>
                <w:rFonts w:hint="eastAsia"/>
                <w:lang w:val="en-US" w:eastAsia="zh-CN"/>
              </w:rPr>
              <w:t xml:space="preserve">4.48 </w:t>
            </w:r>
          </w:p>
        </w:tc>
        <w:tc>
          <w:tcPr>
            <w:tcW w:w="1026" w:type="dxa"/>
            <w:tcBorders>
              <w:tl2br w:val="nil"/>
              <w:tr2bl w:val="nil"/>
            </w:tcBorders>
            <w:noWrap w:val="0"/>
            <w:tcMar>
              <w:top w:w="12" w:type="dxa"/>
              <w:left w:w="12" w:type="dxa"/>
              <w:right w:w="12" w:type="dxa"/>
            </w:tcMar>
            <w:vAlign w:val="center"/>
          </w:tcPr>
          <w:p>
            <w:pPr>
              <w:pStyle w:val="25"/>
              <w:bidi w:val="0"/>
              <w:rPr>
                <w:rFonts w:hint="eastAsia"/>
                <w:lang w:val="en-US" w:eastAsia="zh-CN"/>
              </w:rPr>
            </w:pPr>
            <w:r>
              <w:rPr>
                <w:rFonts w:hint="eastAsia"/>
                <w:lang w:val="en-US" w:eastAsia="zh-CN"/>
              </w:rPr>
              <w:t xml:space="preserve">9.38 </w:t>
            </w:r>
          </w:p>
        </w:tc>
        <w:tc>
          <w:tcPr>
            <w:tcW w:w="1080" w:type="dxa"/>
            <w:tcBorders>
              <w:tl2br w:val="nil"/>
              <w:tr2bl w:val="nil"/>
            </w:tcBorders>
            <w:noWrap w:val="0"/>
            <w:tcMar>
              <w:top w:w="12" w:type="dxa"/>
              <w:left w:w="12" w:type="dxa"/>
              <w:right w:w="12" w:type="dxa"/>
            </w:tcMar>
            <w:vAlign w:val="center"/>
          </w:tcPr>
          <w:p>
            <w:pPr>
              <w:pStyle w:val="25"/>
              <w:bidi w:val="0"/>
              <w:rPr>
                <w:rFonts w:hint="eastAsia"/>
                <w:lang w:val="en-US" w:eastAsia="zh-CN"/>
              </w:rPr>
            </w:pPr>
            <w:r>
              <w:rPr>
                <w:rFonts w:hint="eastAsia"/>
                <w:lang w:val="en-US" w:eastAsia="zh-CN"/>
              </w:rPr>
              <w:t xml:space="preserve">8.73 </w:t>
            </w:r>
          </w:p>
        </w:tc>
        <w:tc>
          <w:tcPr>
            <w:tcW w:w="1181" w:type="dxa"/>
            <w:tcBorders>
              <w:tl2br w:val="nil"/>
              <w:tr2bl w:val="nil"/>
            </w:tcBorders>
            <w:noWrap w:val="0"/>
            <w:tcMar>
              <w:top w:w="12" w:type="dxa"/>
              <w:left w:w="12" w:type="dxa"/>
              <w:right w:w="12" w:type="dxa"/>
            </w:tcMar>
            <w:vAlign w:val="center"/>
          </w:tcPr>
          <w:p>
            <w:pPr>
              <w:pStyle w:val="25"/>
              <w:bidi w:val="0"/>
              <w:rPr>
                <w:rFonts w:hint="eastAsia"/>
              </w:rPr>
            </w:pPr>
            <w:r>
              <w:rPr>
                <w:rFonts w:hint="eastAsia"/>
                <w:lang w:val="en-US" w:eastAsia="zh-CN"/>
              </w:rPr>
              <w:t xml:space="preserve">3.58 </w:t>
            </w:r>
          </w:p>
        </w:tc>
        <w:tc>
          <w:tcPr>
            <w:tcW w:w="1113"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7.50 </w:t>
            </w:r>
          </w:p>
        </w:tc>
        <w:tc>
          <w:tcPr>
            <w:tcW w:w="1063"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6.98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jc w:val="center"/>
        </w:trPr>
        <w:tc>
          <w:tcPr>
            <w:tcW w:w="1005" w:type="dxa"/>
            <w:tcBorders>
              <w:tl2br w:val="nil"/>
              <w:tr2bl w:val="nil"/>
            </w:tcBorders>
            <w:noWrap w:val="0"/>
            <w:tcMar>
              <w:top w:w="12" w:type="dxa"/>
              <w:left w:w="12" w:type="dxa"/>
              <w:right w:w="12" w:type="dxa"/>
            </w:tcMar>
            <w:vAlign w:val="center"/>
          </w:tcPr>
          <w:p>
            <w:pPr>
              <w:pStyle w:val="25"/>
              <w:bidi w:val="0"/>
              <w:rPr>
                <w:rFonts w:hint="eastAsia"/>
              </w:rPr>
            </w:pPr>
            <w:r>
              <w:rPr>
                <w:rFonts w:hint="eastAsia"/>
                <w:lang w:val="en-US" w:eastAsia="zh-CN"/>
              </w:rPr>
              <w:t>曙光村</w:t>
            </w:r>
          </w:p>
        </w:tc>
        <w:tc>
          <w:tcPr>
            <w:tcW w:w="960" w:type="dxa"/>
            <w:tcBorders>
              <w:tl2br w:val="nil"/>
              <w:tr2bl w:val="nil"/>
            </w:tcBorders>
            <w:noWrap w:val="0"/>
            <w:tcMar>
              <w:top w:w="12" w:type="dxa"/>
              <w:left w:w="12" w:type="dxa"/>
              <w:right w:w="12" w:type="dxa"/>
            </w:tcMar>
            <w:vAlign w:val="center"/>
          </w:tcPr>
          <w:p>
            <w:pPr>
              <w:pStyle w:val="25"/>
              <w:bidi w:val="0"/>
              <w:rPr>
                <w:rFonts w:hint="eastAsia"/>
                <w:lang w:val="en-US" w:eastAsia="zh-CN"/>
              </w:rPr>
            </w:pPr>
            <w:r>
              <w:rPr>
                <w:rFonts w:hint="eastAsia"/>
                <w:lang w:val="en-US" w:eastAsia="zh-CN"/>
              </w:rPr>
              <w:t>3队</w:t>
            </w:r>
          </w:p>
        </w:tc>
        <w:tc>
          <w:tcPr>
            <w:tcW w:w="1107" w:type="dxa"/>
            <w:tcBorders>
              <w:tl2br w:val="nil"/>
              <w:tr2bl w:val="nil"/>
            </w:tcBorders>
            <w:noWrap w:val="0"/>
            <w:tcMar>
              <w:top w:w="12" w:type="dxa"/>
              <w:left w:w="12" w:type="dxa"/>
              <w:right w:w="12" w:type="dxa"/>
            </w:tcMar>
            <w:vAlign w:val="center"/>
          </w:tcPr>
          <w:p>
            <w:pPr>
              <w:pStyle w:val="25"/>
              <w:bidi w:val="0"/>
              <w:rPr>
                <w:rFonts w:hint="eastAsia"/>
                <w:lang w:val="en-US" w:eastAsia="zh-CN"/>
              </w:rPr>
            </w:pPr>
            <w:r>
              <w:rPr>
                <w:rFonts w:hint="eastAsia"/>
                <w:lang w:val="en-US" w:eastAsia="zh-CN"/>
              </w:rPr>
              <w:t xml:space="preserve">2.32 </w:t>
            </w:r>
          </w:p>
        </w:tc>
        <w:tc>
          <w:tcPr>
            <w:tcW w:w="1026" w:type="dxa"/>
            <w:tcBorders>
              <w:tl2br w:val="nil"/>
              <w:tr2bl w:val="nil"/>
            </w:tcBorders>
            <w:noWrap w:val="0"/>
            <w:tcMar>
              <w:top w:w="12" w:type="dxa"/>
              <w:left w:w="12" w:type="dxa"/>
              <w:right w:w="12" w:type="dxa"/>
            </w:tcMar>
            <w:vAlign w:val="center"/>
          </w:tcPr>
          <w:p>
            <w:pPr>
              <w:pStyle w:val="25"/>
              <w:bidi w:val="0"/>
              <w:rPr>
                <w:rFonts w:hint="eastAsia"/>
                <w:lang w:val="en-US" w:eastAsia="zh-CN"/>
              </w:rPr>
            </w:pPr>
            <w:r>
              <w:rPr>
                <w:rFonts w:hint="eastAsia"/>
                <w:lang w:val="en-US" w:eastAsia="zh-CN"/>
              </w:rPr>
              <w:t xml:space="preserve">4.86 </w:t>
            </w:r>
          </w:p>
        </w:tc>
        <w:tc>
          <w:tcPr>
            <w:tcW w:w="1080" w:type="dxa"/>
            <w:tcBorders>
              <w:tl2br w:val="nil"/>
              <w:tr2bl w:val="nil"/>
            </w:tcBorders>
            <w:noWrap w:val="0"/>
            <w:tcMar>
              <w:top w:w="12" w:type="dxa"/>
              <w:left w:w="12" w:type="dxa"/>
              <w:right w:w="12" w:type="dxa"/>
            </w:tcMar>
            <w:vAlign w:val="center"/>
          </w:tcPr>
          <w:p>
            <w:pPr>
              <w:pStyle w:val="25"/>
              <w:bidi w:val="0"/>
              <w:rPr>
                <w:rFonts w:hint="eastAsia"/>
                <w:lang w:val="en-US" w:eastAsia="zh-CN"/>
              </w:rPr>
            </w:pPr>
            <w:r>
              <w:rPr>
                <w:rFonts w:hint="eastAsia"/>
                <w:lang w:val="en-US" w:eastAsia="zh-CN"/>
              </w:rPr>
              <w:t xml:space="preserve">4.52 </w:t>
            </w:r>
          </w:p>
        </w:tc>
        <w:tc>
          <w:tcPr>
            <w:tcW w:w="1181" w:type="dxa"/>
            <w:tcBorders>
              <w:tl2br w:val="nil"/>
              <w:tr2bl w:val="nil"/>
            </w:tcBorders>
            <w:noWrap w:val="0"/>
            <w:tcMar>
              <w:top w:w="12" w:type="dxa"/>
              <w:left w:w="12" w:type="dxa"/>
              <w:right w:w="12" w:type="dxa"/>
            </w:tcMar>
            <w:vAlign w:val="center"/>
          </w:tcPr>
          <w:p>
            <w:pPr>
              <w:pStyle w:val="25"/>
              <w:bidi w:val="0"/>
              <w:rPr>
                <w:rFonts w:hint="eastAsia"/>
              </w:rPr>
            </w:pPr>
            <w:r>
              <w:rPr>
                <w:rFonts w:hint="eastAsia"/>
                <w:lang w:val="en-US" w:eastAsia="zh-CN"/>
              </w:rPr>
              <w:t xml:space="preserve">1.86 </w:t>
            </w:r>
          </w:p>
        </w:tc>
        <w:tc>
          <w:tcPr>
            <w:tcW w:w="1113"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3.89 </w:t>
            </w:r>
          </w:p>
        </w:tc>
        <w:tc>
          <w:tcPr>
            <w:tcW w:w="1063"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3.62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jc w:val="center"/>
        </w:trPr>
        <w:tc>
          <w:tcPr>
            <w:tcW w:w="1005" w:type="dxa"/>
            <w:tcBorders>
              <w:tl2br w:val="nil"/>
              <w:tr2bl w:val="nil"/>
            </w:tcBorders>
            <w:noWrap w:val="0"/>
            <w:tcMar>
              <w:top w:w="12" w:type="dxa"/>
              <w:left w:w="12" w:type="dxa"/>
              <w:right w:w="12" w:type="dxa"/>
            </w:tcMar>
            <w:vAlign w:val="center"/>
          </w:tcPr>
          <w:p>
            <w:pPr>
              <w:pStyle w:val="25"/>
              <w:bidi w:val="0"/>
              <w:rPr>
                <w:rFonts w:hint="eastAsia"/>
              </w:rPr>
            </w:pPr>
            <w:r>
              <w:rPr>
                <w:rFonts w:hint="eastAsia"/>
                <w:lang w:val="en-US" w:eastAsia="zh-CN"/>
              </w:rPr>
              <w:t>曙光村</w:t>
            </w:r>
          </w:p>
        </w:tc>
        <w:tc>
          <w:tcPr>
            <w:tcW w:w="960" w:type="dxa"/>
            <w:tcBorders>
              <w:tl2br w:val="nil"/>
              <w:tr2bl w:val="nil"/>
            </w:tcBorders>
            <w:noWrap w:val="0"/>
            <w:tcMar>
              <w:top w:w="12" w:type="dxa"/>
              <w:left w:w="12" w:type="dxa"/>
              <w:right w:w="12" w:type="dxa"/>
            </w:tcMar>
            <w:vAlign w:val="center"/>
          </w:tcPr>
          <w:p>
            <w:pPr>
              <w:pStyle w:val="25"/>
              <w:bidi w:val="0"/>
              <w:rPr>
                <w:rFonts w:hint="eastAsia"/>
                <w:lang w:val="en-US" w:eastAsia="zh-CN"/>
              </w:rPr>
            </w:pPr>
            <w:r>
              <w:rPr>
                <w:rFonts w:hint="eastAsia"/>
                <w:lang w:val="en-US" w:eastAsia="zh-CN"/>
              </w:rPr>
              <w:t>4队</w:t>
            </w:r>
          </w:p>
        </w:tc>
        <w:tc>
          <w:tcPr>
            <w:tcW w:w="1107" w:type="dxa"/>
            <w:tcBorders>
              <w:tl2br w:val="nil"/>
              <w:tr2bl w:val="nil"/>
            </w:tcBorders>
            <w:noWrap w:val="0"/>
            <w:tcMar>
              <w:top w:w="12" w:type="dxa"/>
              <w:left w:w="12" w:type="dxa"/>
              <w:right w:w="12" w:type="dxa"/>
            </w:tcMar>
            <w:vAlign w:val="center"/>
          </w:tcPr>
          <w:p>
            <w:pPr>
              <w:pStyle w:val="25"/>
              <w:bidi w:val="0"/>
              <w:rPr>
                <w:rFonts w:hint="eastAsia"/>
                <w:lang w:val="en-US" w:eastAsia="zh-CN"/>
              </w:rPr>
            </w:pPr>
            <w:r>
              <w:rPr>
                <w:rFonts w:hint="eastAsia"/>
                <w:lang w:val="en-US" w:eastAsia="zh-CN"/>
              </w:rPr>
              <w:t xml:space="preserve">2.72 </w:t>
            </w:r>
          </w:p>
        </w:tc>
        <w:tc>
          <w:tcPr>
            <w:tcW w:w="1026" w:type="dxa"/>
            <w:tcBorders>
              <w:tl2br w:val="nil"/>
              <w:tr2bl w:val="nil"/>
            </w:tcBorders>
            <w:noWrap w:val="0"/>
            <w:tcMar>
              <w:top w:w="12" w:type="dxa"/>
              <w:left w:w="12" w:type="dxa"/>
              <w:right w:w="12" w:type="dxa"/>
            </w:tcMar>
            <w:vAlign w:val="center"/>
          </w:tcPr>
          <w:p>
            <w:pPr>
              <w:pStyle w:val="25"/>
              <w:bidi w:val="0"/>
              <w:rPr>
                <w:rFonts w:hint="eastAsia"/>
                <w:lang w:val="en-US" w:eastAsia="zh-CN"/>
              </w:rPr>
            </w:pPr>
            <w:r>
              <w:rPr>
                <w:rFonts w:hint="eastAsia"/>
                <w:lang w:val="en-US" w:eastAsia="zh-CN"/>
              </w:rPr>
              <w:t xml:space="preserve">5.69 </w:t>
            </w:r>
          </w:p>
        </w:tc>
        <w:tc>
          <w:tcPr>
            <w:tcW w:w="1080" w:type="dxa"/>
            <w:tcBorders>
              <w:tl2br w:val="nil"/>
              <w:tr2bl w:val="nil"/>
            </w:tcBorders>
            <w:noWrap w:val="0"/>
            <w:tcMar>
              <w:top w:w="12" w:type="dxa"/>
              <w:left w:w="12" w:type="dxa"/>
              <w:right w:w="12" w:type="dxa"/>
            </w:tcMar>
            <w:vAlign w:val="center"/>
          </w:tcPr>
          <w:p>
            <w:pPr>
              <w:pStyle w:val="25"/>
              <w:bidi w:val="0"/>
              <w:rPr>
                <w:rFonts w:hint="eastAsia"/>
                <w:lang w:val="en-US" w:eastAsia="zh-CN"/>
              </w:rPr>
            </w:pPr>
            <w:r>
              <w:rPr>
                <w:rFonts w:hint="eastAsia"/>
                <w:lang w:val="en-US" w:eastAsia="zh-CN"/>
              </w:rPr>
              <w:t xml:space="preserve">5.30 </w:t>
            </w:r>
          </w:p>
        </w:tc>
        <w:tc>
          <w:tcPr>
            <w:tcW w:w="1181" w:type="dxa"/>
            <w:tcBorders>
              <w:tl2br w:val="nil"/>
              <w:tr2bl w:val="nil"/>
            </w:tcBorders>
            <w:noWrap w:val="0"/>
            <w:tcMar>
              <w:top w:w="12" w:type="dxa"/>
              <w:left w:w="12" w:type="dxa"/>
              <w:right w:w="12" w:type="dxa"/>
            </w:tcMar>
            <w:vAlign w:val="center"/>
          </w:tcPr>
          <w:p>
            <w:pPr>
              <w:pStyle w:val="25"/>
              <w:bidi w:val="0"/>
              <w:rPr>
                <w:rFonts w:hint="eastAsia"/>
              </w:rPr>
            </w:pPr>
            <w:r>
              <w:rPr>
                <w:rFonts w:hint="eastAsia"/>
                <w:lang w:val="en-US" w:eastAsia="zh-CN"/>
              </w:rPr>
              <w:t xml:space="preserve">2.18 </w:t>
            </w:r>
          </w:p>
        </w:tc>
        <w:tc>
          <w:tcPr>
            <w:tcW w:w="1113"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4.56 </w:t>
            </w:r>
          </w:p>
        </w:tc>
        <w:tc>
          <w:tcPr>
            <w:tcW w:w="1063"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4.24 </w:t>
            </w:r>
          </w:p>
        </w:tc>
      </w:tr>
    </w:tbl>
    <w:p>
      <w:pPr>
        <w:pStyle w:val="7"/>
        <w:rPr>
          <w:rFonts w:hint="eastAsia"/>
        </w:rPr>
      </w:pPr>
      <w:bookmarkStart w:id="148" w:name="_Toc3583"/>
      <w:r>
        <w:rPr>
          <w:rFonts w:hint="eastAsia"/>
        </w:rPr>
        <w:t>3.2.</w:t>
      </w:r>
      <w:bookmarkEnd w:id="148"/>
      <w:r>
        <w:rPr>
          <w:rFonts w:hint="eastAsia"/>
          <w:lang w:val="en-US" w:eastAsia="zh-CN"/>
        </w:rPr>
        <w:t>3</w:t>
      </w:r>
      <w:r>
        <w:rPr>
          <w:rFonts w:hint="eastAsia"/>
        </w:rPr>
        <w:t>水质预测</w:t>
      </w:r>
    </w:p>
    <w:p>
      <w:pPr>
        <w:pStyle w:val="2"/>
        <w:ind w:firstLine="560"/>
      </w:pPr>
      <w:r>
        <w:rPr>
          <w:rFonts w:hint="eastAsia"/>
          <w:lang w:eastAsia="zh-CN"/>
        </w:rPr>
        <w:t>友好区</w:t>
      </w:r>
      <w:r>
        <w:rPr>
          <w:rFonts w:hint="eastAsia"/>
        </w:rPr>
        <w:t>各村屯以农业生产活动及外出务工为主，产业单一，商贸不发达，生活污水相对简单，污水中的污染物主要成分为COD、SS、TN、TP、NH</w:t>
      </w:r>
      <w:r>
        <w:rPr>
          <w:rFonts w:hint="eastAsia"/>
          <w:vertAlign w:val="subscript"/>
        </w:rPr>
        <w:t>3</w:t>
      </w:r>
      <w:r>
        <w:rPr>
          <w:rFonts w:hint="eastAsia"/>
        </w:rPr>
        <w:t>等</w:t>
      </w:r>
      <w:r>
        <w:t>指标</w:t>
      </w:r>
      <w:r>
        <w:rPr>
          <w:rFonts w:hint="eastAsia"/>
        </w:rPr>
        <w:t>，</w:t>
      </w:r>
      <w:r>
        <w:t>如不加处理，直接排入水体就会污染水体水质，破坏水体的生态平衡，造成水体的严重污染。</w:t>
      </w:r>
    </w:p>
    <w:p>
      <w:pPr>
        <w:pStyle w:val="2"/>
        <w:bidi w:val="0"/>
        <w:rPr>
          <w:rFonts w:hint="eastAsia"/>
          <w:lang w:val="en-US" w:eastAsia="zh-CN"/>
        </w:rPr>
      </w:pPr>
      <w:r>
        <w:rPr>
          <w:rFonts w:hint="eastAsia"/>
        </w:rPr>
        <w:t>根据《农村生活污水处理工程技术标准》GB/T51347-2019</w:t>
      </w:r>
      <w:r>
        <w:rPr>
          <w:rFonts w:hint="eastAsia"/>
          <w:lang w:eastAsia="zh-CN"/>
        </w:rPr>
        <w:t>，</w:t>
      </w:r>
      <w:r>
        <w:rPr>
          <w:rFonts w:hint="eastAsia"/>
          <w:lang w:val="en-US" w:eastAsia="zh-CN"/>
        </w:rPr>
        <w:t>农村居民生活污水水质参考值见表3-4。</w:t>
      </w:r>
    </w:p>
    <w:p>
      <w:pPr>
        <w:pStyle w:val="24"/>
        <w:bidi w:val="0"/>
        <w:rPr>
          <w:rFonts w:hint="default"/>
          <w:lang w:val="en-US" w:eastAsia="zh-CN"/>
        </w:rPr>
      </w:pPr>
      <w:r>
        <w:rPr>
          <w:rFonts w:hint="eastAsia"/>
          <w:lang w:val="en-US" w:eastAsia="zh-CN"/>
        </w:rPr>
        <w:t>表3-4  农村居民生活污水水质参考值      单位：mg/L</w:t>
      </w:r>
    </w:p>
    <w:tbl>
      <w:tblPr>
        <w:tblStyle w:val="42"/>
        <w:tblW w:w="104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4"/>
        <w:gridCol w:w="1400"/>
        <w:gridCol w:w="1479"/>
        <w:gridCol w:w="1479"/>
        <w:gridCol w:w="1479"/>
        <w:gridCol w:w="1479"/>
        <w:gridCol w:w="1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694" w:type="dxa"/>
            <w:noWrap w:val="0"/>
            <w:vAlign w:val="center"/>
          </w:tcPr>
          <w:p>
            <w:pPr>
              <w:pStyle w:val="25"/>
              <w:bidi w:val="0"/>
              <w:rPr>
                <w:rFonts w:hint="default"/>
                <w:lang w:val="en-US" w:eastAsia="zh-CN"/>
              </w:rPr>
            </w:pPr>
            <w:r>
              <w:rPr>
                <w:rFonts w:hint="eastAsia"/>
                <w:lang w:val="en-US" w:eastAsia="zh-CN"/>
              </w:rPr>
              <w:t>主要指标</w:t>
            </w:r>
          </w:p>
        </w:tc>
        <w:tc>
          <w:tcPr>
            <w:tcW w:w="1400" w:type="dxa"/>
            <w:noWrap w:val="0"/>
            <w:vAlign w:val="center"/>
          </w:tcPr>
          <w:p>
            <w:pPr>
              <w:pStyle w:val="25"/>
              <w:bidi w:val="0"/>
              <w:rPr>
                <w:rFonts w:hint="default"/>
                <w:lang w:val="en-US" w:eastAsia="zh-CN"/>
              </w:rPr>
            </w:pPr>
            <w:r>
              <w:rPr>
                <w:rFonts w:hint="eastAsia"/>
                <w:lang w:val="en-US" w:eastAsia="zh-CN"/>
              </w:rPr>
              <w:t>COD</w:t>
            </w:r>
          </w:p>
        </w:tc>
        <w:tc>
          <w:tcPr>
            <w:tcW w:w="1479" w:type="dxa"/>
            <w:noWrap w:val="0"/>
            <w:vAlign w:val="center"/>
          </w:tcPr>
          <w:p>
            <w:pPr>
              <w:pStyle w:val="25"/>
              <w:bidi w:val="0"/>
              <w:rPr>
                <w:rFonts w:hint="default"/>
                <w:lang w:val="en-US" w:eastAsia="zh-CN"/>
              </w:rPr>
            </w:pPr>
            <w:r>
              <w:rPr>
                <w:rFonts w:hint="eastAsia"/>
                <w:lang w:val="en-US" w:eastAsia="zh-CN"/>
              </w:rPr>
              <w:t>氨氮</w:t>
            </w:r>
          </w:p>
        </w:tc>
        <w:tc>
          <w:tcPr>
            <w:tcW w:w="1479" w:type="dxa"/>
            <w:noWrap w:val="0"/>
            <w:vAlign w:val="center"/>
          </w:tcPr>
          <w:p>
            <w:pPr>
              <w:pStyle w:val="25"/>
              <w:bidi w:val="0"/>
              <w:rPr>
                <w:rFonts w:hint="default"/>
                <w:lang w:val="en-US" w:eastAsia="zh-CN"/>
              </w:rPr>
            </w:pPr>
            <w:r>
              <w:rPr>
                <w:rFonts w:hint="eastAsia"/>
                <w:lang w:val="en-US" w:eastAsia="zh-CN"/>
              </w:rPr>
              <w:t>BOD</w:t>
            </w:r>
            <w:r>
              <w:rPr>
                <w:rFonts w:hint="eastAsia"/>
                <w:vertAlign w:val="subscript"/>
                <w:lang w:val="en-US" w:eastAsia="zh-CN"/>
              </w:rPr>
              <w:t>5</w:t>
            </w:r>
          </w:p>
        </w:tc>
        <w:tc>
          <w:tcPr>
            <w:tcW w:w="1479" w:type="dxa"/>
            <w:noWrap w:val="0"/>
            <w:vAlign w:val="center"/>
          </w:tcPr>
          <w:p>
            <w:pPr>
              <w:pStyle w:val="25"/>
              <w:bidi w:val="0"/>
              <w:rPr>
                <w:rFonts w:hint="default"/>
                <w:lang w:val="en-US" w:eastAsia="zh-CN"/>
              </w:rPr>
            </w:pPr>
            <w:r>
              <w:rPr>
                <w:rFonts w:hint="eastAsia"/>
                <w:lang w:val="en-US" w:eastAsia="zh-CN"/>
              </w:rPr>
              <w:t>TN</w:t>
            </w:r>
          </w:p>
        </w:tc>
        <w:tc>
          <w:tcPr>
            <w:tcW w:w="1479" w:type="dxa"/>
            <w:noWrap w:val="0"/>
            <w:vAlign w:val="center"/>
          </w:tcPr>
          <w:p>
            <w:pPr>
              <w:pStyle w:val="25"/>
              <w:bidi w:val="0"/>
              <w:rPr>
                <w:rFonts w:hint="default"/>
                <w:lang w:val="en-US" w:eastAsia="zh-CN"/>
              </w:rPr>
            </w:pPr>
            <w:r>
              <w:rPr>
                <w:rFonts w:hint="eastAsia"/>
                <w:lang w:val="en-US" w:eastAsia="zh-CN"/>
              </w:rPr>
              <w:t>TP</w:t>
            </w:r>
          </w:p>
        </w:tc>
        <w:tc>
          <w:tcPr>
            <w:tcW w:w="1479" w:type="dxa"/>
            <w:noWrap w:val="0"/>
            <w:vAlign w:val="center"/>
          </w:tcPr>
          <w:p>
            <w:pPr>
              <w:pStyle w:val="25"/>
              <w:bidi w:val="0"/>
              <w:rPr>
                <w:rFonts w:hint="default"/>
                <w:lang w:val="en-US" w:eastAsia="zh-CN"/>
              </w:rPr>
            </w:pPr>
            <w:r>
              <w:rPr>
                <w:rFonts w:hint="eastAsia"/>
                <w:lang w:val="en-US" w:eastAsia="zh-CN"/>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694" w:type="dxa"/>
            <w:noWrap w:val="0"/>
            <w:vAlign w:val="center"/>
          </w:tcPr>
          <w:p>
            <w:pPr>
              <w:pStyle w:val="25"/>
              <w:bidi w:val="0"/>
              <w:rPr>
                <w:rFonts w:hint="default"/>
                <w:lang w:val="en-US" w:eastAsia="zh-CN"/>
              </w:rPr>
            </w:pPr>
            <w:r>
              <w:rPr>
                <w:rFonts w:hint="eastAsia"/>
                <w:lang w:val="en-US" w:eastAsia="zh-CN"/>
              </w:rPr>
              <w:t>建议取值范围</w:t>
            </w:r>
          </w:p>
        </w:tc>
        <w:tc>
          <w:tcPr>
            <w:tcW w:w="1400" w:type="dxa"/>
            <w:noWrap w:val="0"/>
            <w:vAlign w:val="center"/>
          </w:tcPr>
          <w:p>
            <w:pPr>
              <w:pStyle w:val="25"/>
              <w:bidi w:val="0"/>
              <w:rPr>
                <w:rFonts w:hint="default"/>
                <w:lang w:val="en-US" w:eastAsia="zh-CN"/>
              </w:rPr>
            </w:pPr>
            <w:r>
              <w:rPr>
                <w:rFonts w:hint="eastAsia"/>
                <w:lang w:val="en-US" w:eastAsia="zh-CN"/>
              </w:rPr>
              <w:t>150~400</w:t>
            </w:r>
          </w:p>
        </w:tc>
        <w:tc>
          <w:tcPr>
            <w:tcW w:w="1479" w:type="dxa"/>
            <w:noWrap w:val="0"/>
            <w:vAlign w:val="center"/>
          </w:tcPr>
          <w:p>
            <w:pPr>
              <w:pStyle w:val="25"/>
              <w:bidi w:val="0"/>
              <w:rPr>
                <w:rFonts w:hint="default"/>
                <w:lang w:val="en-US" w:eastAsia="zh-CN"/>
              </w:rPr>
            </w:pPr>
            <w:r>
              <w:rPr>
                <w:rFonts w:hint="eastAsia"/>
                <w:lang w:val="en-US" w:eastAsia="zh-CN"/>
              </w:rPr>
              <w:t>20~40</w:t>
            </w:r>
          </w:p>
        </w:tc>
        <w:tc>
          <w:tcPr>
            <w:tcW w:w="1479" w:type="dxa"/>
            <w:noWrap w:val="0"/>
            <w:vAlign w:val="center"/>
          </w:tcPr>
          <w:p>
            <w:pPr>
              <w:pStyle w:val="25"/>
              <w:bidi w:val="0"/>
              <w:rPr>
                <w:rFonts w:hint="default"/>
                <w:lang w:val="en-US" w:eastAsia="zh-CN"/>
              </w:rPr>
            </w:pPr>
            <w:r>
              <w:rPr>
                <w:rFonts w:hint="eastAsia"/>
                <w:lang w:val="en-US" w:eastAsia="zh-CN"/>
              </w:rPr>
              <w:t>100~200</w:t>
            </w:r>
          </w:p>
        </w:tc>
        <w:tc>
          <w:tcPr>
            <w:tcW w:w="1479" w:type="dxa"/>
            <w:noWrap w:val="0"/>
            <w:vAlign w:val="center"/>
          </w:tcPr>
          <w:p>
            <w:pPr>
              <w:pStyle w:val="25"/>
              <w:bidi w:val="0"/>
              <w:rPr>
                <w:rFonts w:hint="default"/>
                <w:lang w:val="en-US" w:eastAsia="zh-CN"/>
              </w:rPr>
            </w:pPr>
            <w:r>
              <w:rPr>
                <w:rFonts w:hint="eastAsia"/>
                <w:lang w:val="en-US" w:eastAsia="zh-CN"/>
              </w:rPr>
              <w:t>20~50</w:t>
            </w:r>
          </w:p>
        </w:tc>
        <w:tc>
          <w:tcPr>
            <w:tcW w:w="1479" w:type="dxa"/>
            <w:noWrap w:val="0"/>
            <w:vAlign w:val="center"/>
          </w:tcPr>
          <w:p>
            <w:pPr>
              <w:pStyle w:val="25"/>
              <w:bidi w:val="0"/>
              <w:rPr>
                <w:rFonts w:hint="default"/>
                <w:lang w:val="en-US" w:eastAsia="zh-CN"/>
              </w:rPr>
            </w:pPr>
            <w:r>
              <w:rPr>
                <w:rFonts w:hint="eastAsia"/>
                <w:lang w:val="en-US" w:eastAsia="zh-CN"/>
              </w:rPr>
              <w:t>2.0~7.0</w:t>
            </w:r>
          </w:p>
        </w:tc>
        <w:tc>
          <w:tcPr>
            <w:tcW w:w="1479" w:type="dxa"/>
            <w:noWrap w:val="0"/>
            <w:vAlign w:val="center"/>
          </w:tcPr>
          <w:p>
            <w:pPr>
              <w:pStyle w:val="25"/>
              <w:bidi w:val="0"/>
              <w:rPr>
                <w:rFonts w:hint="default"/>
                <w:lang w:val="en-US" w:eastAsia="zh-CN"/>
              </w:rPr>
            </w:pPr>
            <w:r>
              <w:rPr>
                <w:rFonts w:hint="eastAsia"/>
                <w:lang w:val="en-US" w:eastAsia="zh-CN"/>
              </w:rPr>
              <w:t>100~200</w:t>
            </w:r>
          </w:p>
        </w:tc>
      </w:tr>
    </w:tbl>
    <w:p>
      <w:pPr>
        <w:pStyle w:val="2"/>
        <w:bidi w:val="0"/>
        <w:rPr>
          <w:rFonts w:hint="eastAsia"/>
          <w:lang w:val="en-US" w:eastAsia="zh-CN"/>
        </w:rPr>
      </w:pPr>
      <w:r>
        <w:rPr>
          <w:rFonts w:hint="eastAsia"/>
          <w:lang w:val="en-US" w:eastAsia="zh-CN"/>
        </w:rPr>
        <w:t>本次COD取值300mg/L，氨氮取值30mg/L，BOD</w:t>
      </w:r>
      <w:r>
        <w:rPr>
          <w:rFonts w:hint="eastAsia"/>
          <w:vertAlign w:val="subscript"/>
          <w:lang w:val="en-US" w:eastAsia="zh-CN"/>
        </w:rPr>
        <w:t>5</w:t>
      </w:r>
      <w:r>
        <w:rPr>
          <w:rFonts w:hint="eastAsia"/>
          <w:vertAlign w:val="baseline"/>
          <w:lang w:val="en-US" w:eastAsia="zh-CN"/>
        </w:rPr>
        <w:t>取值150mg/L，TN取值40mg/L，TP取值4mg/L</w:t>
      </w:r>
      <w:r>
        <w:rPr>
          <w:rFonts w:hint="eastAsia"/>
          <w:lang w:val="en-US" w:eastAsia="zh-CN"/>
        </w:rPr>
        <w:t>。结合预测污水量友好区农村生活污水污染负荷见表3-5。</w:t>
      </w:r>
    </w:p>
    <w:p>
      <w:pPr>
        <w:pStyle w:val="24"/>
        <w:bidi w:val="0"/>
        <w:rPr>
          <w:rFonts w:hint="default"/>
          <w:lang w:val="en-US" w:eastAsia="zh-CN"/>
        </w:rPr>
      </w:pPr>
      <w:r>
        <w:rPr>
          <w:rFonts w:hint="eastAsia"/>
          <w:lang w:val="en-US" w:eastAsia="zh-CN"/>
        </w:rPr>
        <w:t>表3-5  友好区农村生活污水污染负荷统计表   单位：t/a</w:t>
      </w:r>
    </w:p>
    <w:tbl>
      <w:tblPr>
        <w:tblStyle w:val="41"/>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125"/>
        <w:gridCol w:w="2125"/>
        <w:gridCol w:w="2125"/>
        <w:gridCol w:w="2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60"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项目</w:t>
            </w:r>
          </w:p>
        </w:tc>
        <w:tc>
          <w:tcPr>
            <w:tcW w:w="960"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现状</w:t>
            </w:r>
          </w:p>
        </w:tc>
        <w:tc>
          <w:tcPr>
            <w:tcW w:w="960"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近期</w:t>
            </w:r>
          </w:p>
        </w:tc>
        <w:tc>
          <w:tcPr>
            <w:tcW w:w="961" w:type="dxa"/>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60" w:type="dxa"/>
            <w:tcBorders>
              <w:tl2br w:val="nil"/>
              <w:tr2bl w:val="nil"/>
            </w:tcBorders>
            <w:noWrap w:val="0"/>
            <w:tcMar>
              <w:top w:w="12" w:type="dxa"/>
              <w:left w:w="12" w:type="dxa"/>
              <w:right w:w="12" w:type="dxa"/>
            </w:tcMar>
            <w:vAlign w:val="center"/>
          </w:tcPr>
          <w:p>
            <w:pPr>
              <w:pStyle w:val="25"/>
              <w:bidi w:val="0"/>
              <w:rPr>
                <w:rFonts w:hint="eastAsia"/>
              </w:rPr>
            </w:pPr>
            <w:r>
              <w:rPr>
                <w:rFonts w:hint="eastAsia"/>
                <w:lang w:val="en-US" w:eastAsia="zh-CN"/>
              </w:rPr>
              <w:t>COD</w:t>
            </w:r>
          </w:p>
        </w:tc>
        <w:tc>
          <w:tcPr>
            <w:tcW w:w="0" w:type="auto"/>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2.54 </w:t>
            </w:r>
          </w:p>
        </w:tc>
        <w:tc>
          <w:tcPr>
            <w:tcW w:w="0" w:type="auto"/>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5.32 </w:t>
            </w:r>
          </w:p>
        </w:tc>
        <w:tc>
          <w:tcPr>
            <w:tcW w:w="0" w:type="auto"/>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4.95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60" w:type="dxa"/>
            <w:tcBorders>
              <w:tl2br w:val="nil"/>
              <w:tr2bl w:val="nil"/>
            </w:tcBorders>
            <w:noWrap w:val="0"/>
            <w:tcMar>
              <w:top w:w="12" w:type="dxa"/>
              <w:left w:w="12" w:type="dxa"/>
              <w:right w:w="12" w:type="dxa"/>
            </w:tcMar>
            <w:vAlign w:val="center"/>
          </w:tcPr>
          <w:p>
            <w:pPr>
              <w:pStyle w:val="25"/>
              <w:bidi w:val="0"/>
              <w:rPr>
                <w:rFonts w:hint="eastAsia"/>
              </w:rPr>
            </w:pPr>
            <w:r>
              <w:rPr>
                <w:rFonts w:hint="eastAsia"/>
                <w:lang w:val="en-US" w:eastAsia="zh-CN"/>
              </w:rPr>
              <w:t>BOD</w:t>
            </w:r>
            <w:r>
              <w:rPr>
                <w:rFonts w:hint="eastAsia"/>
                <w:vertAlign w:val="subscript"/>
                <w:lang w:val="en-US" w:eastAsia="zh-CN"/>
              </w:rPr>
              <w:t>5</w:t>
            </w:r>
          </w:p>
        </w:tc>
        <w:tc>
          <w:tcPr>
            <w:tcW w:w="0" w:type="auto"/>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1.27 </w:t>
            </w:r>
          </w:p>
        </w:tc>
        <w:tc>
          <w:tcPr>
            <w:tcW w:w="0" w:type="auto"/>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2.66 </w:t>
            </w:r>
          </w:p>
        </w:tc>
        <w:tc>
          <w:tcPr>
            <w:tcW w:w="0" w:type="auto"/>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2.47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60" w:type="dxa"/>
            <w:tcBorders>
              <w:tl2br w:val="nil"/>
              <w:tr2bl w:val="nil"/>
            </w:tcBorders>
            <w:noWrap w:val="0"/>
            <w:tcMar>
              <w:top w:w="12" w:type="dxa"/>
              <w:left w:w="12" w:type="dxa"/>
              <w:right w:w="12" w:type="dxa"/>
            </w:tcMar>
            <w:vAlign w:val="center"/>
          </w:tcPr>
          <w:p>
            <w:pPr>
              <w:pStyle w:val="25"/>
              <w:bidi w:val="0"/>
              <w:rPr>
                <w:rFonts w:hint="eastAsia"/>
              </w:rPr>
            </w:pPr>
            <w:r>
              <w:rPr>
                <w:rFonts w:hint="eastAsia"/>
                <w:lang w:val="en-US" w:eastAsia="zh-CN"/>
              </w:rPr>
              <w:t>SS</w:t>
            </w:r>
          </w:p>
        </w:tc>
        <w:tc>
          <w:tcPr>
            <w:tcW w:w="0" w:type="auto"/>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1.27 </w:t>
            </w:r>
          </w:p>
        </w:tc>
        <w:tc>
          <w:tcPr>
            <w:tcW w:w="0" w:type="auto"/>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2.66 </w:t>
            </w:r>
          </w:p>
        </w:tc>
        <w:tc>
          <w:tcPr>
            <w:tcW w:w="0" w:type="auto"/>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2.47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60" w:type="dxa"/>
            <w:tcBorders>
              <w:tl2br w:val="nil"/>
              <w:tr2bl w:val="nil"/>
            </w:tcBorders>
            <w:noWrap w:val="0"/>
            <w:tcMar>
              <w:top w:w="12" w:type="dxa"/>
              <w:left w:w="12" w:type="dxa"/>
              <w:right w:w="12" w:type="dxa"/>
            </w:tcMar>
            <w:vAlign w:val="center"/>
          </w:tcPr>
          <w:p>
            <w:pPr>
              <w:pStyle w:val="25"/>
              <w:bidi w:val="0"/>
              <w:rPr>
                <w:rFonts w:hint="eastAsia"/>
              </w:rPr>
            </w:pPr>
            <w:r>
              <w:rPr>
                <w:rFonts w:hint="eastAsia"/>
                <w:lang w:val="en-US" w:eastAsia="zh-CN"/>
              </w:rPr>
              <w:t>总氮（TN）</w:t>
            </w:r>
          </w:p>
        </w:tc>
        <w:tc>
          <w:tcPr>
            <w:tcW w:w="0" w:type="auto"/>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0.34 </w:t>
            </w:r>
          </w:p>
        </w:tc>
        <w:tc>
          <w:tcPr>
            <w:tcW w:w="0" w:type="auto"/>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0.71 </w:t>
            </w:r>
          </w:p>
        </w:tc>
        <w:tc>
          <w:tcPr>
            <w:tcW w:w="0" w:type="auto"/>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0.66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60" w:type="dxa"/>
            <w:tcBorders>
              <w:tl2br w:val="nil"/>
              <w:tr2bl w:val="nil"/>
            </w:tcBorders>
            <w:noWrap w:val="0"/>
            <w:tcMar>
              <w:top w:w="12" w:type="dxa"/>
              <w:left w:w="12" w:type="dxa"/>
              <w:right w:w="12" w:type="dxa"/>
            </w:tcMar>
            <w:vAlign w:val="center"/>
          </w:tcPr>
          <w:p>
            <w:pPr>
              <w:pStyle w:val="25"/>
              <w:bidi w:val="0"/>
              <w:rPr>
                <w:rFonts w:hint="eastAsia"/>
              </w:rPr>
            </w:pPr>
            <w:r>
              <w:rPr>
                <w:rFonts w:hint="eastAsia"/>
                <w:lang w:val="en-US" w:eastAsia="zh-CN"/>
              </w:rPr>
              <w:t>氨氮（NH3 -N）</w:t>
            </w:r>
          </w:p>
        </w:tc>
        <w:tc>
          <w:tcPr>
            <w:tcW w:w="0" w:type="auto"/>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0.25 </w:t>
            </w:r>
          </w:p>
        </w:tc>
        <w:tc>
          <w:tcPr>
            <w:tcW w:w="0" w:type="auto"/>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0.53 </w:t>
            </w:r>
          </w:p>
        </w:tc>
        <w:tc>
          <w:tcPr>
            <w:tcW w:w="0" w:type="auto"/>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0.49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60" w:type="dxa"/>
            <w:tcBorders>
              <w:tl2br w:val="nil"/>
              <w:tr2bl w:val="nil"/>
            </w:tcBorders>
            <w:noWrap w:val="0"/>
            <w:tcMar>
              <w:top w:w="12" w:type="dxa"/>
              <w:left w:w="12" w:type="dxa"/>
              <w:right w:w="12" w:type="dxa"/>
            </w:tcMar>
            <w:vAlign w:val="center"/>
          </w:tcPr>
          <w:p>
            <w:pPr>
              <w:pStyle w:val="25"/>
              <w:bidi w:val="0"/>
              <w:rPr>
                <w:rFonts w:hint="eastAsia"/>
              </w:rPr>
            </w:pPr>
            <w:r>
              <w:rPr>
                <w:rFonts w:hint="eastAsia"/>
                <w:lang w:val="en-US" w:eastAsia="zh-CN"/>
              </w:rPr>
              <w:t>总磷（TP）</w:t>
            </w:r>
          </w:p>
        </w:tc>
        <w:tc>
          <w:tcPr>
            <w:tcW w:w="0" w:type="auto"/>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0.03 </w:t>
            </w:r>
          </w:p>
        </w:tc>
        <w:tc>
          <w:tcPr>
            <w:tcW w:w="0" w:type="auto"/>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0.07 </w:t>
            </w:r>
          </w:p>
        </w:tc>
        <w:tc>
          <w:tcPr>
            <w:tcW w:w="0" w:type="auto"/>
            <w:tcBorders>
              <w:tl2br w:val="nil"/>
              <w:tr2bl w:val="nil"/>
            </w:tcBorders>
            <w:noWrap/>
            <w:tcMar>
              <w:top w:w="12" w:type="dxa"/>
              <w:left w:w="12" w:type="dxa"/>
              <w:right w:w="12" w:type="dxa"/>
            </w:tcMar>
            <w:vAlign w:val="center"/>
          </w:tcPr>
          <w:p>
            <w:pPr>
              <w:pStyle w:val="25"/>
              <w:bidi w:val="0"/>
              <w:rPr>
                <w:rFonts w:hint="eastAsia"/>
              </w:rPr>
            </w:pPr>
            <w:r>
              <w:rPr>
                <w:rFonts w:hint="eastAsia"/>
                <w:lang w:val="en-US" w:eastAsia="zh-CN"/>
              </w:rPr>
              <w:t xml:space="preserve">0.07 </w:t>
            </w:r>
          </w:p>
        </w:tc>
      </w:tr>
    </w:tbl>
    <w:p>
      <w:pPr>
        <w:pStyle w:val="2"/>
        <w:ind w:firstLine="0" w:firstLineChars="0"/>
        <w:jc w:val="center"/>
        <w:outlineLvl w:val="0"/>
      </w:pPr>
      <w:r>
        <w:rPr>
          <w:rStyle w:val="58"/>
          <w:rFonts w:hint="eastAsia"/>
        </w:rPr>
        <w:t xml:space="preserve">  </w:t>
      </w:r>
      <w:r>
        <w:rPr>
          <w:rStyle w:val="58"/>
          <w:rFonts w:hint="eastAsia"/>
        </w:rPr>
        <w:tab/>
      </w:r>
      <w:r>
        <w:rPr>
          <w:rStyle w:val="58"/>
          <w:rFonts w:hint="eastAsia"/>
        </w:rPr>
        <w:br w:type="page"/>
      </w:r>
      <w:bookmarkStart w:id="149" w:name="_Toc26080"/>
      <w:bookmarkStart w:id="150" w:name="_Toc14587"/>
      <w:bookmarkStart w:id="151" w:name="_Toc14296"/>
      <w:bookmarkStart w:id="152" w:name="_Toc10434_WPSOffice_Level1"/>
      <w:bookmarkStart w:id="153" w:name="_Toc23046"/>
      <w:bookmarkStart w:id="154" w:name="_Toc24491"/>
      <w:bookmarkStart w:id="155" w:name="_Toc28855_WPSOffice_Level1"/>
      <w:bookmarkStart w:id="156" w:name="_Toc28227"/>
      <w:bookmarkStart w:id="157" w:name="_Toc24607"/>
      <w:r>
        <w:rPr>
          <w:rStyle w:val="58"/>
          <w:rFonts w:hint="eastAsia"/>
        </w:rPr>
        <w:t>第四章 规划方案</w:t>
      </w:r>
      <w:bookmarkEnd w:id="149"/>
      <w:bookmarkEnd w:id="150"/>
      <w:bookmarkEnd w:id="151"/>
      <w:bookmarkEnd w:id="152"/>
      <w:bookmarkEnd w:id="153"/>
      <w:bookmarkEnd w:id="154"/>
      <w:bookmarkEnd w:id="155"/>
      <w:bookmarkEnd w:id="156"/>
      <w:bookmarkEnd w:id="157"/>
    </w:p>
    <w:p>
      <w:pPr>
        <w:pStyle w:val="7"/>
        <w:outlineLvl w:val="1"/>
        <w:rPr>
          <w:rFonts w:hint="eastAsia" w:eastAsia="宋体"/>
          <w:lang w:val="en-US" w:eastAsia="zh-CN"/>
        </w:rPr>
      </w:pPr>
      <w:bookmarkStart w:id="158" w:name="_Toc4092"/>
      <w:bookmarkStart w:id="159" w:name="_Toc6695"/>
      <w:bookmarkStart w:id="160" w:name="_Toc31801"/>
      <w:bookmarkStart w:id="161" w:name="_Toc18684"/>
      <w:bookmarkStart w:id="162" w:name="_Toc10265"/>
      <w:bookmarkStart w:id="163" w:name="_Toc30226"/>
      <w:r>
        <w:rPr>
          <w:rFonts w:hint="eastAsia"/>
        </w:rPr>
        <w:t>4.1治理模式</w:t>
      </w:r>
      <w:r>
        <w:rPr>
          <w:rFonts w:hint="eastAsia"/>
          <w:lang w:val="en-US" w:eastAsia="zh-CN"/>
        </w:rPr>
        <w:t>选取</w:t>
      </w:r>
      <w:bookmarkEnd w:id="158"/>
      <w:bookmarkEnd w:id="159"/>
      <w:bookmarkEnd w:id="160"/>
      <w:bookmarkEnd w:id="161"/>
      <w:bookmarkEnd w:id="162"/>
      <w:bookmarkEnd w:id="163"/>
    </w:p>
    <w:p>
      <w:pPr>
        <w:pStyle w:val="7"/>
        <w:bidi w:val="0"/>
        <w:rPr>
          <w:rFonts w:hint="default"/>
          <w:lang w:val="en-US" w:eastAsia="zh-CN"/>
        </w:rPr>
      </w:pPr>
      <w:r>
        <w:rPr>
          <w:rFonts w:hint="eastAsia"/>
          <w:lang w:val="en-US" w:eastAsia="zh-CN"/>
        </w:rPr>
        <w:t>4.1.1治理模式</w:t>
      </w:r>
    </w:p>
    <w:p>
      <w:pPr>
        <w:pStyle w:val="2"/>
        <w:ind w:firstLine="560"/>
      </w:pPr>
      <w:r>
        <w:rPr>
          <w:rFonts w:hint="eastAsia"/>
        </w:rPr>
        <w:t>遵循因地制宜，注重实效，回用优先的原则，鼓励优先实行土地消纳和</w:t>
      </w:r>
      <w:r>
        <w:rPr>
          <w:rFonts w:hint="eastAsia"/>
          <w:lang w:eastAsia="zh-CN"/>
        </w:rPr>
        <w:t>有效管控</w:t>
      </w:r>
      <w:r>
        <w:rPr>
          <w:rFonts w:hint="eastAsia"/>
        </w:rPr>
        <w:t>，采用污染治理与资源利用相结合、工程措施与生态措施相结合、集中与分散相结合的建设模式和处理工艺。</w:t>
      </w:r>
    </w:p>
    <w:p>
      <w:pPr>
        <w:pStyle w:val="2"/>
        <w:ind w:firstLine="560"/>
      </w:pPr>
      <w:r>
        <w:rPr>
          <w:rFonts w:hint="eastAsia"/>
        </w:rPr>
        <w:t>治理模式选择要因村制宜，应依据村庄的现有情况、本地习俗及其经济和社会条件，采取多元化的污水治理模式。对于位于环境敏感区或重点流域沿岸的村庄，应优先选择深度处理工艺。对于靠近城镇或距离城镇污水管网较近的村庄，应优先</w:t>
      </w:r>
      <w:r>
        <w:rPr>
          <w:rFonts w:hint="eastAsia"/>
          <w:lang w:eastAsia="zh-CN"/>
        </w:rPr>
        <w:t>考</w:t>
      </w:r>
      <w:r>
        <w:rPr>
          <w:rFonts w:hint="eastAsia"/>
        </w:rPr>
        <w:t>虑管网对接。对于住户较为集中的村庄，可采用村组处理方式，距将较近的村庄或乡镇可共享处理设施。对于住户较为分散的村庄，可采用分户处理或</w:t>
      </w:r>
      <w:r>
        <w:rPr>
          <w:rFonts w:hint="eastAsia"/>
          <w:lang w:eastAsia="zh-CN"/>
        </w:rPr>
        <w:t>有效管控</w:t>
      </w:r>
      <w:r>
        <w:rPr>
          <w:rFonts w:hint="eastAsia"/>
        </w:rPr>
        <w:t>处置方式。本次规划推荐的处理模式有以下几种：</w:t>
      </w:r>
    </w:p>
    <w:p>
      <w:pPr>
        <w:pStyle w:val="2"/>
        <w:ind w:firstLine="560"/>
      </w:pPr>
      <w:r>
        <w:rPr>
          <w:rFonts w:hint="eastAsia"/>
        </w:rPr>
        <w:t>1、</w:t>
      </w:r>
      <w:r>
        <w:rPr>
          <w:rFonts w:hint="eastAsia"/>
          <w:lang w:eastAsia="zh-CN"/>
        </w:rPr>
        <w:t>纳管模式</w:t>
      </w:r>
      <w:r>
        <w:t xml:space="preserve"> </w:t>
      </w:r>
    </w:p>
    <w:p>
      <w:pPr>
        <w:pStyle w:val="2"/>
        <w:ind w:firstLine="560"/>
        <w:rPr>
          <w:rFonts w:hint="eastAsia"/>
        </w:rPr>
      </w:pPr>
      <w:r>
        <w:rPr>
          <w:rFonts w:hint="eastAsia"/>
        </w:rPr>
        <w:t>将距离市政污水管网较近（一般</w:t>
      </w:r>
      <w:r>
        <w:t>3</w:t>
      </w:r>
      <w:r>
        <w:rPr>
          <w:rFonts w:hint="eastAsia"/>
        </w:rPr>
        <w:t>公里以内），且具备施工条件的镇区，社区，农村生活污水接入市政管网统一治理，即区域内所有生活污水经污水管道集中收集后，统一接入邻近市政污水管网，利用城镇污水</w:t>
      </w:r>
      <w:r>
        <w:rPr>
          <w:rFonts w:hint="eastAsia"/>
          <w:lang w:val="en-US" w:eastAsia="zh-CN"/>
        </w:rPr>
        <w:t>处理</w:t>
      </w:r>
      <w:r>
        <w:rPr>
          <w:rFonts w:hint="eastAsia"/>
        </w:rPr>
        <w:t>厂统一治理。</w:t>
      </w:r>
    </w:p>
    <w:p>
      <w:pPr>
        <w:pStyle w:val="2"/>
        <w:ind w:firstLine="560"/>
        <w:rPr>
          <w:rFonts w:hint="eastAsia" w:eastAsia="宋体"/>
          <w:lang w:eastAsia="zh-CN"/>
        </w:rPr>
      </w:pPr>
      <w:r>
        <w:t>2</w:t>
      </w:r>
      <w:r>
        <w:rPr>
          <w:rFonts w:hint="eastAsia"/>
        </w:rPr>
        <w:t>、</w:t>
      </w:r>
      <w:r>
        <w:rPr>
          <w:rFonts w:hint="eastAsia"/>
          <w:lang w:eastAsia="zh-CN"/>
        </w:rPr>
        <w:t>集中式治理模式</w:t>
      </w:r>
    </w:p>
    <w:p>
      <w:pPr>
        <w:pStyle w:val="2"/>
        <w:ind w:firstLine="560"/>
        <w:rPr>
          <w:rFonts w:ascii="宋体" w:hAnsi="宋体" w:cs="宋体"/>
          <w:sz w:val="24"/>
          <w:szCs w:val="24"/>
        </w:rPr>
      </w:pPr>
      <w:r>
        <w:rPr>
          <w:rFonts w:ascii="宋体" w:hAnsi="宋体" w:cs="宋体"/>
          <w:szCs w:val="28"/>
        </w:rPr>
        <w:t>将</w:t>
      </w:r>
      <w:r>
        <w:rPr>
          <w:rFonts w:hint="eastAsia" w:ascii="宋体" w:hAnsi="宋体" w:cs="宋体"/>
          <w:szCs w:val="28"/>
        </w:rPr>
        <w:t>农户</w:t>
      </w:r>
      <w:r>
        <w:rPr>
          <w:rFonts w:ascii="宋体" w:hAnsi="宋体" w:cs="宋体"/>
          <w:szCs w:val="28"/>
        </w:rPr>
        <w:t>产生的污水进行收集，</w:t>
      </w:r>
      <w:r>
        <w:rPr>
          <w:rFonts w:hint="eastAsia" w:ascii="宋体" w:hAnsi="宋体" w:cs="宋体"/>
          <w:szCs w:val="28"/>
        </w:rPr>
        <w:t>通过管网输送至集中式污水治理设施，通过单村或联村集中建设的污水处理设施处理后回用或外排至水环境</w:t>
      </w:r>
      <w:r>
        <w:rPr>
          <w:rFonts w:ascii="宋体" w:hAnsi="宋体" w:cs="宋体"/>
          <w:sz w:val="24"/>
          <w:szCs w:val="24"/>
        </w:rPr>
        <w:t>。</w:t>
      </w:r>
    </w:p>
    <w:p>
      <w:pPr>
        <w:pStyle w:val="2"/>
        <w:ind w:firstLine="560"/>
      </w:pPr>
      <w:r>
        <w:t>3</w:t>
      </w:r>
      <w:r>
        <w:rPr>
          <w:rFonts w:hint="eastAsia"/>
        </w:rPr>
        <w:t>、分散治理模式</w:t>
      </w:r>
    </w:p>
    <w:p>
      <w:pPr>
        <w:pStyle w:val="2"/>
        <w:ind w:firstLine="560"/>
        <w:rPr>
          <w:rFonts w:ascii="宋体" w:hAnsi="宋体" w:cs="宋体"/>
          <w:sz w:val="24"/>
          <w:szCs w:val="24"/>
          <w:highlight w:val="none"/>
        </w:rPr>
      </w:pPr>
      <w:r>
        <w:rPr>
          <w:rFonts w:hint="eastAsia"/>
          <w:highlight w:val="none"/>
        </w:rPr>
        <w:t>指村民委员会（建制村）辖区内，采用的设计处理能力小于20吨/日的污水处理，其中包括化粪池（二格及以上）+尾水还田等</w:t>
      </w:r>
      <w:r>
        <w:rPr>
          <w:rFonts w:hint="eastAsia"/>
          <w:highlight w:val="none"/>
          <w:lang w:eastAsia="zh-CN"/>
        </w:rPr>
        <w:t>有效管控</w:t>
      </w:r>
      <w:r>
        <w:rPr>
          <w:rFonts w:hint="eastAsia"/>
          <w:highlight w:val="none"/>
        </w:rPr>
        <w:t>的设施</w:t>
      </w:r>
      <w:r>
        <w:rPr>
          <w:rFonts w:ascii="宋体" w:hAnsi="宋体" w:cs="宋体"/>
          <w:sz w:val="24"/>
          <w:szCs w:val="24"/>
          <w:highlight w:val="none"/>
        </w:rPr>
        <w:t>。</w:t>
      </w:r>
    </w:p>
    <w:p>
      <w:pPr>
        <w:pStyle w:val="2"/>
        <w:ind w:firstLine="560"/>
        <w:rPr>
          <w:rFonts w:hint="default" w:eastAsia="宋体"/>
          <w:lang w:val="en-US" w:eastAsia="zh-CN"/>
        </w:rPr>
      </w:pPr>
      <w:r>
        <w:t>4</w:t>
      </w:r>
      <w:r>
        <w:rPr>
          <w:rFonts w:hint="eastAsia"/>
        </w:rPr>
        <w:t>、</w:t>
      </w:r>
      <w:r>
        <w:rPr>
          <w:rFonts w:hint="eastAsia"/>
          <w:lang w:eastAsia="zh-CN"/>
        </w:rPr>
        <w:t>有效管控</w:t>
      </w:r>
      <w:r>
        <w:rPr>
          <w:rFonts w:hint="eastAsia"/>
          <w:lang w:val="en-US" w:eastAsia="zh-CN"/>
        </w:rPr>
        <w:t>模式</w:t>
      </w:r>
    </w:p>
    <w:p>
      <w:pPr>
        <w:pStyle w:val="2"/>
        <w:ind w:firstLine="560"/>
      </w:pPr>
      <w:r>
        <w:rPr>
          <w:rFonts w:hint="eastAsia"/>
        </w:rPr>
        <w:t>指村民委员会（建制村）辖区内，未接入市政污水管网，目前不具备建设分散或集中式污水治理设施条件，60%以上的农户生活污水主要通过庭院绿化、菜园浇灌施肥等方式利用，避免污水直排环境。</w:t>
      </w:r>
    </w:p>
    <w:p>
      <w:pPr>
        <w:pStyle w:val="7"/>
      </w:pPr>
      <w:bookmarkStart w:id="164" w:name="_Toc17719_WPSOffice_Level2"/>
      <w:bookmarkStart w:id="165" w:name="_Toc23843_WPSOffice_Level2"/>
      <w:r>
        <w:rPr>
          <w:rFonts w:hint="eastAsia"/>
        </w:rPr>
        <w:t>4.</w:t>
      </w:r>
      <w:r>
        <w:rPr>
          <w:rFonts w:hint="eastAsia"/>
          <w:lang w:val="en-US" w:eastAsia="zh-CN"/>
        </w:rPr>
        <w:t>1.2</w:t>
      </w:r>
      <w:r>
        <w:rPr>
          <w:rFonts w:hint="eastAsia"/>
        </w:rPr>
        <w:t>规划方案的选取</w:t>
      </w:r>
    </w:p>
    <w:p>
      <w:pPr>
        <w:pStyle w:val="2"/>
        <w:ind w:firstLine="560"/>
      </w:pPr>
      <w:r>
        <w:rPr>
          <w:rFonts w:hint="eastAsia"/>
        </w:rPr>
        <w:t>结合</w:t>
      </w:r>
      <w:r>
        <w:rPr>
          <w:rFonts w:hint="eastAsia"/>
          <w:lang w:eastAsia="zh-CN"/>
        </w:rPr>
        <w:t>友好区</w:t>
      </w:r>
      <w:r>
        <w:rPr>
          <w:rFonts w:hint="eastAsia"/>
        </w:rPr>
        <w:t>的实际情况，对各村情况进行深入规划分析，结合水量及水质，本次规划，采用以下模式处置各村农村生活污水：</w:t>
      </w:r>
    </w:p>
    <w:p>
      <w:pPr>
        <w:pStyle w:val="2"/>
        <w:ind w:firstLine="560"/>
        <w:rPr>
          <w:rFonts w:hint="default"/>
          <w:lang w:val="en-US" w:eastAsia="zh-CN"/>
        </w:rPr>
      </w:pPr>
      <w:r>
        <w:rPr>
          <w:rFonts w:hint="eastAsia"/>
        </w:rPr>
        <w:t>1、</w:t>
      </w:r>
      <w:r>
        <w:rPr>
          <w:rFonts w:hint="eastAsia"/>
          <w:lang w:val="en-US" w:eastAsia="zh-CN"/>
        </w:rPr>
        <w:t>有效管控模式。</w:t>
      </w:r>
    </w:p>
    <w:p>
      <w:pPr>
        <w:pStyle w:val="7"/>
        <w:bidi w:val="0"/>
        <w:rPr>
          <w:rFonts w:hint="default"/>
          <w:lang w:val="en-US" w:eastAsia="zh-CN"/>
        </w:rPr>
      </w:pPr>
      <w:r>
        <w:rPr>
          <w:rFonts w:hint="eastAsia"/>
          <w:lang w:val="en-US" w:eastAsia="zh-CN"/>
        </w:rPr>
        <w:t>4.1.3近期治理的村庄及治理模式</w:t>
      </w:r>
    </w:p>
    <w:p>
      <w:pPr>
        <w:pStyle w:val="2"/>
        <w:ind w:firstLine="560"/>
        <w:rPr>
          <w:rFonts w:hint="eastAsia"/>
          <w:lang w:val="en-US" w:eastAsia="zh-CN"/>
        </w:rPr>
      </w:pPr>
      <w:r>
        <w:rPr>
          <w:rFonts w:hint="eastAsia"/>
          <w:lang w:val="en-US" w:eastAsia="zh-CN"/>
        </w:rPr>
        <w:t>结合友好区位于环境敏感区的村庄，以及各村的改厕情况。近期各村庄治理模式的选取见表4-1。根据现场调研结果，友好区村庄较少。因此，本次规划不设置远期规划。</w:t>
      </w:r>
    </w:p>
    <w:p>
      <w:pPr>
        <w:pStyle w:val="24"/>
        <w:bidi w:val="0"/>
        <w:rPr>
          <w:rFonts w:hint="default"/>
          <w:lang w:val="en-US" w:eastAsia="zh-CN"/>
        </w:rPr>
      </w:pPr>
      <w:r>
        <w:rPr>
          <w:rFonts w:hint="eastAsia"/>
          <w:lang w:val="en-US" w:eastAsia="zh-CN"/>
        </w:rPr>
        <w:t>表4-1  近期治理村庄及治理模式</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4"/>
        <w:gridCol w:w="1093"/>
        <w:gridCol w:w="920"/>
        <w:gridCol w:w="1320"/>
        <w:gridCol w:w="1040"/>
        <w:gridCol w:w="1240"/>
        <w:gridCol w:w="1507"/>
        <w:gridCol w:w="947"/>
        <w:gridCol w:w="1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4" w:type="dxa"/>
            <w:vMerge w:val="restart"/>
            <w:noWrap w:val="0"/>
            <w:vAlign w:val="center"/>
          </w:tcPr>
          <w:p>
            <w:pPr>
              <w:pStyle w:val="25"/>
              <w:bidi w:val="0"/>
              <w:rPr>
                <w:rFonts w:hint="default"/>
                <w:lang w:val="en-US" w:eastAsia="zh-CN"/>
              </w:rPr>
            </w:pPr>
            <w:r>
              <w:rPr>
                <w:rFonts w:hint="eastAsia"/>
                <w:lang w:val="en-US" w:eastAsia="zh-CN"/>
              </w:rPr>
              <w:t>序号</w:t>
            </w:r>
          </w:p>
        </w:tc>
        <w:tc>
          <w:tcPr>
            <w:tcW w:w="1093" w:type="dxa"/>
            <w:vMerge w:val="restart"/>
            <w:noWrap w:val="0"/>
            <w:vAlign w:val="center"/>
          </w:tcPr>
          <w:p>
            <w:pPr>
              <w:pStyle w:val="25"/>
              <w:bidi w:val="0"/>
              <w:rPr>
                <w:rFonts w:hint="default"/>
                <w:lang w:val="en-US" w:eastAsia="zh-CN"/>
              </w:rPr>
            </w:pPr>
            <w:r>
              <w:rPr>
                <w:rFonts w:hint="eastAsia"/>
                <w:lang w:val="en-US" w:eastAsia="zh-CN"/>
              </w:rPr>
              <w:t>行政村</w:t>
            </w:r>
          </w:p>
        </w:tc>
        <w:tc>
          <w:tcPr>
            <w:tcW w:w="920" w:type="dxa"/>
            <w:vMerge w:val="restart"/>
            <w:noWrap w:val="0"/>
            <w:vAlign w:val="center"/>
          </w:tcPr>
          <w:p>
            <w:pPr>
              <w:pStyle w:val="25"/>
              <w:bidi w:val="0"/>
              <w:rPr>
                <w:rFonts w:hint="default"/>
                <w:lang w:val="en-US" w:eastAsia="zh-CN"/>
              </w:rPr>
            </w:pPr>
            <w:r>
              <w:rPr>
                <w:rFonts w:hint="eastAsia"/>
                <w:lang w:val="en-US" w:eastAsia="zh-CN"/>
              </w:rPr>
              <w:t>自然屯</w:t>
            </w:r>
          </w:p>
        </w:tc>
        <w:tc>
          <w:tcPr>
            <w:tcW w:w="1320" w:type="dxa"/>
            <w:vMerge w:val="restart"/>
            <w:noWrap w:val="0"/>
            <w:vAlign w:val="center"/>
          </w:tcPr>
          <w:p>
            <w:pPr>
              <w:pStyle w:val="25"/>
              <w:bidi w:val="0"/>
              <w:rPr>
                <w:rFonts w:hint="default"/>
                <w:lang w:val="en-US" w:eastAsia="zh-CN"/>
              </w:rPr>
            </w:pPr>
            <w:r>
              <w:rPr>
                <w:rFonts w:hint="eastAsia"/>
                <w:lang w:val="en-US" w:eastAsia="zh-CN"/>
              </w:rPr>
              <w:t>水源地1km范围内</w:t>
            </w:r>
          </w:p>
        </w:tc>
        <w:tc>
          <w:tcPr>
            <w:tcW w:w="1040" w:type="dxa"/>
            <w:vMerge w:val="restart"/>
            <w:noWrap w:val="0"/>
            <w:vAlign w:val="center"/>
          </w:tcPr>
          <w:p>
            <w:pPr>
              <w:pStyle w:val="25"/>
              <w:bidi w:val="0"/>
              <w:rPr>
                <w:rFonts w:hint="default"/>
                <w:lang w:val="en-US" w:eastAsia="zh-CN"/>
              </w:rPr>
            </w:pPr>
            <w:r>
              <w:rPr>
                <w:rFonts w:hint="eastAsia"/>
                <w:lang w:val="en-US" w:eastAsia="zh-CN"/>
              </w:rPr>
              <w:t>自然保护区内村庄</w:t>
            </w:r>
          </w:p>
        </w:tc>
        <w:tc>
          <w:tcPr>
            <w:tcW w:w="1240" w:type="dxa"/>
            <w:vMerge w:val="restart"/>
            <w:noWrap w:val="0"/>
            <w:vAlign w:val="center"/>
          </w:tcPr>
          <w:p>
            <w:pPr>
              <w:pStyle w:val="25"/>
              <w:bidi w:val="0"/>
              <w:rPr>
                <w:rFonts w:hint="default"/>
                <w:lang w:val="en-US" w:eastAsia="zh-CN"/>
              </w:rPr>
            </w:pPr>
            <w:r>
              <w:rPr>
                <w:rFonts w:hint="eastAsia"/>
                <w:lang w:val="en-US" w:eastAsia="zh-CN"/>
              </w:rPr>
              <w:t>城乡结合部3km范围内村庄</w:t>
            </w:r>
          </w:p>
        </w:tc>
        <w:tc>
          <w:tcPr>
            <w:tcW w:w="1507" w:type="dxa"/>
            <w:noWrap w:val="0"/>
            <w:vAlign w:val="center"/>
          </w:tcPr>
          <w:p>
            <w:pPr>
              <w:pStyle w:val="25"/>
              <w:bidi w:val="0"/>
              <w:rPr>
                <w:rFonts w:hint="default"/>
                <w:lang w:val="en-US" w:eastAsia="zh-CN"/>
              </w:rPr>
            </w:pPr>
            <w:r>
              <w:rPr>
                <w:rFonts w:hint="eastAsia"/>
                <w:lang w:val="en-US" w:eastAsia="zh-CN"/>
              </w:rPr>
              <w:t>乡镇中心村</w:t>
            </w:r>
          </w:p>
        </w:tc>
        <w:tc>
          <w:tcPr>
            <w:tcW w:w="947" w:type="dxa"/>
            <w:vMerge w:val="restart"/>
            <w:noWrap w:val="0"/>
            <w:vAlign w:val="center"/>
          </w:tcPr>
          <w:p>
            <w:pPr>
              <w:pStyle w:val="25"/>
              <w:bidi w:val="0"/>
              <w:rPr>
                <w:rFonts w:hint="default"/>
                <w:lang w:val="en-US" w:eastAsia="zh-CN"/>
              </w:rPr>
            </w:pPr>
            <w:r>
              <w:rPr>
                <w:rFonts w:hint="eastAsia"/>
                <w:lang w:val="en-US" w:eastAsia="zh-CN"/>
              </w:rPr>
              <w:t>改厕率较高的村庄</w:t>
            </w:r>
          </w:p>
        </w:tc>
        <w:tc>
          <w:tcPr>
            <w:tcW w:w="1786" w:type="dxa"/>
            <w:vMerge w:val="restart"/>
            <w:noWrap w:val="0"/>
            <w:vAlign w:val="center"/>
          </w:tcPr>
          <w:p>
            <w:pPr>
              <w:pStyle w:val="25"/>
              <w:bidi w:val="0"/>
              <w:rPr>
                <w:rFonts w:hint="default"/>
                <w:lang w:val="en-US" w:eastAsia="zh-CN"/>
              </w:rPr>
            </w:pPr>
            <w:r>
              <w:rPr>
                <w:rFonts w:hint="eastAsia"/>
                <w:lang w:val="en-US" w:eastAsia="zh-CN"/>
              </w:rPr>
              <w:t>治理模式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4" w:type="dxa"/>
            <w:vMerge w:val="continue"/>
            <w:noWrap w:val="0"/>
            <w:vAlign w:val="center"/>
          </w:tcPr>
          <w:p>
            <w:pPr>
              <w:pStyle w:val="25"/>
              <w:bidi w:val="0"/>
              <w:rPr>
                <w:rFonts w:hint="eastAsia"/>
                <w:lang w:val="en-US" w:eastAsia="zh-CN"/>
              </w:rPr>
            </w:pPr>
          </w:p>
        </w:tc>
        <w:tc>
          <w:tcPr>
            <w:tcW w:w="1093" w:type="dxa"/>
            <w:vMerge w:val="continue"/>
            <w:noWrap w:val="0"/>
            <w:vAlign w:val="center"/>
          </w:tcPr>
          <w:p>
            <w:pPr>
              <w:pStyle w:val="25"/>
              <w:bidi w:val="0"/>
              <w:rPr>
                <w:rFonts w:hint="eastAsia"/>
                <w:lang w:val="en-US" w:eastAsia="zh-CN"/>
              </w:rPr>
            </w:pPr>
          </w:p>
        </w:tc>
        <w:tc>
          <w:tcPr>
            <w:tcW w:w="920" w:type="dxa"/>
            <w:vMerge w:val="continue"/>
            <w:noWrap w:val="0"/>
            <w:vAlign w:val="center"/>
          </w:tcPr>
          <w:p>
            <w:pPr>
              <w:pStyle w:val="25"/>
              <w:bidi w:val="0"/>
              <w:rPr>
                <w:rFonts w:hint="eastAsia"/>
                <w:lang w:val="en-US" w:eastAsia="zh-CN"/>
              </w:rPr>
            </w:pPr>
          </w:p>
        </w:tc>
        <w:tc>
          <w:tcPr>
            <w:tcW w:w="1320" w:type="dxa"/>
            <w:vMerge w:val="continue"/>
            <w:noWrap w:val="0"/>
            <w:vAlign w:val="center"/>
          </w:tcPr>
          <w:p>
            <w:pPr>
              <w:pStyle w:val="25"/>
              <w:bidi w:val="0"/>
              <w:rPr>
                <w:rFonts w:hint="eastAsia"/>
                <w:lang w:val="en-US" w:eastAsia="zh-CN"/>
              </w:rPr>
            </w:pPr>
          </w:p>
        </w:tc>
        <w:tc>
          <w:tcPr>
            <w:tcW w:w="1040" w:type="dxa"/>
            <w:vMerge w:val="continue"/>
            <w:noWrap w:val="0"/>
            <w:vAlign w:val="center"/>
          </w:tcPr>
          <w:p>
            <w:pPr>
              <w:pStyle w:val="25"/>
              <w:bidi w:val="0"/>
              <w:rPr>
                <w:rFonts w:hint="eastAsia"/>
                <w:lang w:val="en-US" w:eastAsia="zh-CN"/>
              </w:rPr>
            </w:pPr>
          </w:p>
        </w:tc>
        <w:tc>
          <w:tcPr>
            <w:tcW w:w="1240" w:type="dxa"/>
            <w:vMerge w:val="continue"/>
            <w:noWrap w:val="0"/>
            <w:vAlign w:val="center"/>
          </w:tcPr>
          <w:p>
            <w:pPr>
              <w:pStyle w:val="25"/>
              <w:bidi w:val="0"/>
              <w:rPr>
                <w:rFonts w:hint="eastAsia"/>
                <w:lang w:val="en-US" w:eastAsia="zh-CN"/>
              </w:rPr>
            </w:pPr>
          </w:p>
        </w:tc>
        <w:tc>
          <w:tcPr>
            <w:tcW w:w="1507" w:type="dxa"/>
            <w:noWrap w:val="0"/>
            <w:vAlign w:val="center"/>
          </w:tcPr>
          <w:p>
            <w:pPr>
              <w:pStyle w:val="25"/>
              <w:bidi w:val="0"/>
              <w:rPr>
                <w:rFonts w:hint="eastAsia"/>
                <w:lang w:val="en-US" w:eastAsia="zh-CN"/>
              </w:rPr>
            </w:pPr>
            <w:r>
              <w:rPr>
                <w:rFonts w:hint="eastAsia"/>
                <w:lang w:val="en-US" w:eastAsia="zh-CN"/>
              </w:rPr>
              <w:t>人口集中区</w:t>
            </w:r>
          </w:p>
        </w:tc>
        <w:tc>
          <w:tcPr>
            <w:tcW w:w="947" w:type="dxa"/>
            <w:vMerge w:val="continue"/>
            <w:noWrap w:val="0"/>
            <w:vAlign w:val="center"/>
          </w:tcPr>
          <w:p>
            <w:pPr>
              <w:pStyle w:val="25"/>
              <w:bidi w:val="0"/>
              <w:rPr>
                <w:rFonts w:hint="eastAsia"/>
                <w:lang w:val="en-US" w:eastAsia="zh-CN"/>
              </w:rPr>
            </w:pPr>
          </w:p>
        </w:tc>
        <w:tc>
          <w:tcPr>
            <w:tcW w:w="1786" w:type="dxa"/>
            <w:vMerge w:val="continue"/>
            <w:noWrap w:val="0"/>
            <w:vAlign w:val="center"/>
          </w:tcPr>
          <w:p>
            <w:pPr>
              <w:pStyle w:val="25"/>
              <w:bidi w:val="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4" w:type="dxa"/>
            <w:noWrap w:val="0"/>
            <w:vAlign w:val="center"/>
          </w:tcPr>
          <w:p>
            <w:pPr>
              <w:pStyle w:val="25"/>
              <w:bidi w:val="0"/>
              <w:rPr>
                <w:rFonts w:hint="default"/>
                <w:lang w:val="en-US" w:eastAsia="zh-CN"/>
              </w:rPr>
            </w:pPr>
            <w:r>
              <w:rPr>
                <w:rFonts w:hint="eastAsia"/>
                <w:lang w:val="en-US" w:eastAsia="zh-CN"/>
              </w:rPr>
              <w:t>1</w:t>
            </w:r>
          </w:p>
        </w:tc>
        <w:tc>
          <w:tcPr>
            <w:tcW w:w="1093" w:type="dxa"/>
            <w:noWrap w:val="0"/>
            <w:vAlign w:val="center"/>
          </w:tcPr>
          <w:p>
            <w:pPr>
              <w:pStyle w:val="25"/>
              <w:bidi w:val="0"/>
              <w:rPr>
                <w:rFonts w:hint="default"/>
                <w:lang w:val="en-US" w:eastAsia="zh-CN"/>
              </w:rPr>
            </w:pPr>
            <w:r>
              <w:rPr>
                <w:rFonts w:hint="eastAsia"/>
                <w:lang w:val="en-US" w:eastAsia="zh-CN"/>
              </w:rPr>
              <w:t>青山村</w:t>
            </w:r>
          </w:p>
        </w:tc>
        <w:tc>
          <w:tcPr>
            <w:tcW w:w="920" w:type="dxa"/>
            <w:noWrap w:val="0"/>
            <w:vAlign w:val="center"/>
          </w:tcPr>
          <w:p>
            <w:pPr>
              <w:pStyle w:val="25"/>
              <w:bidi w:val="0"/>
              <w:rPr>
                <w:rFonts w:hint="eastAsia"/>
                <w:lang w:val="en-US" w:eastAsia="zh-CN"/>
              </w:rPr>
            </w:pPr>
            <w:r>
              <w:rPr>
                <w:rFonts w:hint="eastAsia"/>
                <w:lang w:val="en-US" w:eastAsia="zh-CN"/>
              </w:rPr>
              <w:t>1队</w:t>
            </w:r>
          </w:p>
        </w:tc>
        <w:tc>
          <w:tcPr>
            <w:tcW w:w="1320" w:type="dxa"/>
            <w:noWrap w:val="0"/>
            <w:vAlign w:val="center"/>
          </w:tcPr>
          <w:p>
            <w:pPr>
              <w:pStyle w:val="25"/>
              <w:bidi w:val="0"/>
              <w:rPr>
                <w:rFonts w:hint="default"/>
                <w:lang w:val="en-US" w:eastAsia="zh-CN"/>
              </w:rPr>
            </w:pPr>
          </w:p>
        </w:tc>
        <w:tc>
          <w:tcPr>
            <w:tcW w:w="1040" w:type="dxa"/>
            <w:noWrap w:val="0"/>
            <w:vAlign w:val="center"/>
          </w:tcPr>
          <w:p>
            <w:pPr>
              <w:pStyle w:val="25"/>
              <w:bidi w:val="0"/>
              <w:rPr>
                <w:rFonts w:hint="eastAsia"/>
                <w:lang w:val="en-US" w:eastAsia="zh-CN"/>
              </w:rPr>
            </w:pPr>
          </w:p>
        </w:tc>
        <w:tc>
          <w:tcPr>
            <w:tcW w:w="1240" w:type="dxa"/>
            <w:noWrap w:val="0"/>
            <w:vAlign w:val="center"/>
          </w:tcPr>
          <w:p>
            <w:pPr>
              <w:pStyle w:val="25"/>
              <w:bidi w:val="0"/>
              <w:rPr>
                <w:rFonts w:hint="default"/>
                <w:lang w:val="en-US" w:eastAsia="zh-CN"/>
              </w:rPr>
            </w:pPr>
          </w:p>
        </w:tc>
        <w:tc>
          <w:tcPr>
            <w:tcW w:w="1507" w:type="dxa"/>
            <w:noWrap w:val="0"/>
            <w:vAlign w:val="center"/>
          </w:tcPr>
          <w:p>
            <w:pPr>
              <w:pStyle w:val="25"/>
              <w:bidi w:val="0"/>
              <w:rPr>
                <w:rFonts w:hint="default"/>
                <w:lang w:val="en-US" w:eastAsia="zh-CN"/>
              </w:rPr>
            </w:pPr>
          </w:p>
        </w:tc>
        <w:tc>
          <w:tcPr>
            <w:tcW w:w="947" w:type="dxa"/>
            <w:noWrap w:val="0"/>
            <w:vAlign w:val="center"/>
          </w:tcPr>
          <w:p>
            <w:pPr>
              <w:pStyle w:val="25"/>
              <w:bidi w:val="0"/>
              <w:rPr>
                <w:rFonts w:hint="default"/>
                <w:lang w:val="en-US" w:eastAsia="zh-CN"/>
              </w:rPr>
            </w:pPr>
            <w:r>
              <w:rPr>
                <w:rFonts w:hint="eastAsia"/>
                <w:lang w:val="en-US" w:eastAsia="zh-CN"/>
              </w:rPr>
              <w:t>√</w:t>
            </w:r>
          </w:p>
        </w:tc>
        <w:tc>
          <w:tcPr>
            <w:tcW w:w="1786" w:type="dxa"/>
            <w:noWrap w:val="0"/>
            <w:vAlign w:val="center"/>
          </w:tcPr>
          <w:p>
            <w:pPr>
              <w:pStyle w:val="25"/>
              <w:bidi w:val="0"/>
              <w:rPr>
                <w:rFonts w:hint="eastAsia"/>
                <w:lang w:val="en-US" w:eastAsia="zh-CN"/>
              </w:rPr>
            </w:pPr>
            <w:r>
              <w:rPr>
                <w:rFonts w:hint="eastAsia"/>
                <w:lang w:val="en-US" w:eastAsia="zh-CN"/>
              </w:rPr>
              <w:t>有效管控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4" w:type="dxa"/>
            <w:noWrap w:val="0"/>
            <w:vAlign w:val="center"/>
          </w:tcPr>
          <w:p>
            <w:pPr>
              <w:pStyle w:val="25"/>
              <w:bidi w:val="0"/>
              <w:rPr>
                <w:rFonts w:hint="default"/>
                <w:lang w:val="en-US" w:eastAsia="zh-CN"/>
              </w:rPr>
            </w:pPr>
            <w:r>
              <w:rPr>
                <w:rFonts w:hint="eastAsia"/>
                <w:lang w:val="en-US" w:eastAsia="zh-CN"/>
              </w:rPr>
              <w:t>2</w:t>
            </w:r>
          </w:p>
        </w:tc>
        <w:tc>
          <w:tcPr>
            <w:tcW w:w="1093" w:type="dxa"/>
            <w:noWrap w:val="0"/>
            <w:vAlign w:val="center"/>
          </w:tcPr>
          <w:p>
            <w:pPr>
              <w:pStyle w:val="25"/>
              <w:bidi w:val="0"/>
              <w:rPr>
                <w:rFonts w:hint="default"/>
                <w:lang w:val="en-US" w:eastAsia="zh-CN"/>
              </w:rPr>
            </w:pPr>
            <w:r>
              <w:rPr>
                <w:rFonts w:hint="eastAsia"/>
                <w:lang w:val="en-US" w:eastAsia="zh-CN"/>
              </w:rPr>
              <w:t>青山村</w:t>
            </w:r>
          </w:p>
        </w:tc>
        <w:tc>
          <w:tcPr>
            <w:tcW w:w="920" w:type="dxa"/>
            <w:noWrap w:val="0"/>
            <w:vAlign w:val="center"/>
          </w:tcPr>
          <w:p>
            <w:pPr>
              <w:pStyle w:val="25"/>
              <w:bidi w:val="0"/>
              <w:rPr>
                <w:rFonts w:hint="eastAsia"/>
                <w:lang w:val="en-US" w:eastAsia="zh-CN"/>
              </w:rPr>
            </w:pPr>
            <w:r>
              <w:rPr>
                <w:rFonts w:hint="eastAsia"/>
                <w:lang w:val="en-US" w:eastAsia="zh-CN"/>
              </w:rPr>
              <w:t>2队</w:t>
            </w:r>
          </w:p>
        </w:tc>
        <w:tc>
          <w:tcPr>
            <w:tcW w:w="1320" w:type="dxa"/>
            <w:noWrap w:val="0"/>
            <w:vAlign w:val="center"/>
          </w:tcPr>
          <w:p>
            <w:pPr>
              <w:pStyle w:val="25"/>
              <w:bidi w:val="0"/>
              <w:rPr>
                <w:rFonts w:hint="default"/>
                <w:lang w:val="en-US" w:eastAsia="zh-CN"/>
              </w:rPr>
            </w:pPr>
          </w:p>
        </w:tc>
        <w:tc>
          <w:tcPr>
            <w:tcW w:w="1040" w:type="dxa"/>
            <w:noWrap w:val="0"/>
            <w:vAlign w:val="center"/>
          </w:tcPr>
          <w:p>
            <w:pPr>
              <w:pStyle w:val="25"/>
              <w:bidi w:val="0"/>
              <w:rPr>
                <w:rFonts w:hint="default"/>
                <w:lang w:val="en-US" w:eastAsia="zh-CN"/>
              </w:rPr>
            </w:pPr>
          </w:p>
        </w:tc>
        <w:tc>
          <w:tcPr>
            <w:tcW w:w="1240" w:type="dxa"/>
            <w:noWrap w:val="0"/>
            <w:vAlign w:val="center"/>
          </w:tcPr>
          <w:p>
            <w:pPr>
              <w:pStyle w:val="25"/>
              <w:bidi w:val="0"/>
              <w:rPr>
                <w:rFonts w:hint="default"/>
                <w:lang w:val="en-US" w:eastAsia="zh-CN"/>
              </w:rPr>
            </w:pPr>
          </w:p>
        </w:tc>
        <w:tc>
          <w:tcPr>
            <w:tcW w:w="1507" w:type="dxa"/>
            <w:noWrap w:val="0"/>
            <w:vAlign w:val="center"/>
          </w:tcPr>
          <w:p>
            <w:pPr>
              <w:pStyle w:val="25"/>
              <w:bidi w:val="0"/>
              <w:rPr>
                <w:rFonts w:hint="default"/>
                <w:lang w:val="en-US" w:eastAsia="zh-CN"/>
              </w:rPr>
            </w:pPr>
            <w:r>
              <w:rPr>
                <w:rFonts w:hint="eastAsia"/>
                <w:lang w:val="en-US" w:eastAsia="zh-CN"/>
              </w:rPr>
              <w:t>√</w:t>
            </w:r>
          </w:p>
        </w:tc>
        <w:tc>
          <w:tcPr>
            <w:tcW w:w="947" w:type="dxa"/>
            <w:noWrap w:val="0"/>
            <w:vAlign w:val="center"/>
          </w:tcPr>
          <w:p>
            <w:pPr>
              <w:pStyle w:val="25"/>
              <w:bidi w:val="0"/>
              <w:rPr>
                <w:rFonts w:hint="default"/>
                <w:lang w:val="en-US" w:eastAsia="zh-CN"/>
              </w:rPr>
            </w:pPr>
            <w:r>
              <w:rPr>
                <w:rFonts w:hint="eastAsia"/>
                <w:lang w:val="en-US" w:eastAsia="zh-CN"/>
              </w:rPr>
              <w:t>√</w:t>
            </w:r>
          </w:p>
        </w:tc>
        <w:tc>
          <w:tcPr>
            <w:tcW w:w="1786" w:type="dxa"/>
            <w:noWrap w:val="0"/>
            <w:vAlign w:val="center"/>
          </w:tcPr>
          <w:p>
            <w:pPr>
              <w:pStyle w:val="25"/>
              <w:bidi w:val="0"/>
              <w:rPr>
                <w:rFonts w:hint="default"/>
                <w:lang w:val="en-US" w:eastAsia="zh-CN"/>
              </w:rPr>
            </w:pPr>
            <w:r>
              <w:rPr>
                <w:rFonts w:hint="eastAsia"/>
                <w:lang w:val="en-US" w:eastAsia="zh-CN"/>
              </w:rPr>
              <w:t>有效管控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4" w:type="dxa"/>
            <w:noWrap w:val="0"/>
            <w:vAlign w:val="center"/>
          </w:tcPr>
          <w:p>
            <w:pPr>
              <w:pStyle w:val="25"/>
              <w:bidi w:val="0"/>
              <w:rPr>
                <w:rFonts w:hint="default"/>
                <w:lang w:val="en-US" w:eastAsia="zh-CN"/>
              </w:rPr>
            </w:pPr>
            <w:r>
              <w:rPr>
                <w:rFonts w:hint="eastAsia"/>
                <w:lang w:val="en-US" w:eastAsia="zh-CN"/>
              </w:rPr>
              <w:t>3</w:t>
            </w:r>
          </w:p>
        </w:tc>
        <w:tc>
          <w:tcPr>
            <w:tcW w:w="1093" w:type="dxa"/>
            <w:noWrap w:val="0"/>
            <w:vAlign w:val="center"/>
          </w:tcPr>
          <w:p>
            <w:pPr>
              <w:pStyle w:val="25"/>
              <w:bidi w:val="0"/>
              <w:rPr>
                <w:rFonts w:hint="default"/>
                <w:lang w:val="en-US" w:eastAsia="zh-CN"/>
              </w:rPr>
            </w:pPr>
            <w:r>
              <w:rPr>
                <w:rFonts w:hint="eastAsia"/>
                <w:lang w:val="en-US" w:eastAsia="zh-CN"/>
              </w:rPr>
              <w:t>青山村</w:t>
            </w:r>
          </w:p>
        </w:tc>
        <w:tc>
          <w:tcPr>
            <w:tcW w:w="920" w:type="dxa"/>
            <w:noWrap w:val="0"/>
            <w:vAlign w:val="center"/>
          </w:tcPr>
          <w:p>
            <w:pPr>
              <w:pStyle w:val="25"/>
              <w:bidi w:val="0"/>
              <w:rPr>
                <w:rFonts w:hint="eastAsia"/>
                <w:lang w:val="en-US" w:eastAsia="zh-CN"/>
              </w:rPr>
            </w:pPr>
            <w:r>
              <w:rPr>
                <w:rFonts w:hint="eastAsia"/>
                <w:lang w:val="en-US" w:eastAsia="zh-CN"/>
              </w:rPr>
              <w:t>3队</w:t>
            </w:r>
          </w:p>
        </w:tc>
        <w:tc>
          <w:tcPr>
            <w:tcW w:w="1320" w:type="dxa"/>
            <w:noWrap w:val="0"/>
            <w:vAlign w:val="center"/>
          </w:tcPr>
          <w:p>
            <w:pPr>
              <w:pStyle w:val="25"/>
              <w:bidi w:val="0"/>
              <w:rPr>
                <w:rFonts w:hint="default"/>
                <w:lang w:val="en-US" w:eastAsia="zh-CN"/>
              </w:rPr>
            </w:pPr>
          </w:p>
        </w:tc>
        <w:tc>
          <w:tcPr>
            <w:tcW w:w="1040" w:type="dxa"/>
            <w:noWrap w:val="0"/>
            <w:vAlign w:val="center"/>
          </w:tcPr>
          <w:p>
            <w:pPr>
              <w:pStyle w:val="25"/>
              <w:bidi w:val="0"/>
              <w:rPr>
                <w:rFonts w:hint="default"/>
                <w:lang w:val="en-US" w:eastAsia="zh-CN"/>
              </w:rPr>
            </w:pPr>
          </w:p>
        </w:tc>
        <w:tc>
          <w:tcPr>
            <w:tcW w:w="1240" w:type="dxa"/>
            <w:noWrap w:val="0"/>
            <w:vAlign w:val="center"/>
          </w:tcPr>
          <w:p>
            <w:pPr>
              <w:pStyle w:val="25"/>
              <w:bidi w:val="0"/>
              <w:rPr>
                <w:rFonts w:hint="default"/>
                <w:lang w:val="en-US" w:eastAsia="zh-CN"/>
              </w:rPr>
            </w:pPr>
          </w:p>
        </w:tc>
        <w:tc>
          <w:tcPr>
            <w:tcW w:w="1507" w:type="dxa"/>
            <w:noWrap w:val="0"/>
            <w:vAlign w:val="center"/>
          </w:tcPr>
          <w:p>
            <w:pPr>
              <w:pStyle w:val="25"/>
              <w:bidi w:val="0"/>
              <w:rPr>
                <w:rFonts w:hint="default"/>
                <w:lang w:val="en-US" w:eastAsia="zh-CN"/>
              </w:rPr>
            </w:pPr>
          </w:p>
        </w:tc>
        <w:tc>
          <w:tcPr>
            <w:tcW w:w="947" w:type="dxa"/>
            <w:noWrap w:val="0"/>
            <w:vAlign w:val="center"/>
          </w:tcPr>
          <w:p>
            <w:pPr>
              <w:pStyle w:val="25"/>
              <w:bidi w:val="0"/>
              <w:rPr>
                <w:rFonts w:hint="default"/>
                <w:lang w:val="en-US" w:eastAsia="zh-CN"/>
              </w:rPr>
            </w:pPr>
            <w:r>
              <w:rPr>
                <w:rFonts w:hint="eastAsia"/>
                <w:lang w:val="en-US" w:eastAsia="zh-CN"/>
              </w:rPr>
              <w:t>√</w:t>
            </w:r>
          </w:p>
        </w:tc>
        <w:tc>
          <w:tcPr>
            <w:tcW w:w="1786" w:type="dxa"/>
            <w:noWrap w:val="0"/>
            <w:vAlign w:val="center"/>
          </w:tcPr>
          <w:p>
            <w:pPr>
              <w:pStyle w:val="25"/>
              <w:bidi w:val="0"/>
              <w:rPr>
                <w:rFonts w:hint="default"/>
                <w:lang w:val="en-US" w:eastAsia="zh-CN"/>
              </w:rPr>
            </w:pPr>
            <w:r>
              <w:rPr>
                <w:rFonts w:hint="eastAsia"/>
                <w:lang w:val="en-US" w:eastAsia="zh-CN"/>
              </w:rPr>
              <w:t>有效管控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4" w:type="dxa"/>
            <w:noWrap w:val="0"/>
            <w:vAlign w:val="center"/>
          </w:tcPr>
          <w:p>
            <w:pPr>
              <w:pStyle w:val="25"/>
              <w:bidi w:val="0"/>
              <w:rPr>
                <w:rFonts w:hint="default"/>
                <w:lang w:val="en-US" w:eastAsia="zh-CN"/>
              </w:rPr>
            </w:pPr>
            <w:r>
              <w:rPr>
                <w:rFonts w:hint="eastAsia"/>
                <w:lang w:val="en-US" w:eastAsia="zh-CN"/>
              </w:rPr>
              <w:t>4</w:t>
            </w:r>
          </w:p>
        </w:tc>
        <w:tc>
          <w:tcPr>
            <w:tcW w:w="1093" w:type="dxa"/>
            <w:noWrap w:val="0"/>
            <w:vAlign w:val="center"/>
          </w:tcPr>
          <w:p>
            <w:pPr>
              <w:pStyle w:val="25"/>
              <w:bidi w:val="0"/>
              <w:rPr>
                <w:rFonts w:hint="default"/>
                <w:lang w:val="en-US" w:eastAsia="zh-CN"/>
              </w:rPr>
            </w:pPr>
            <w:r>
              <w:rPr>
                <w:rFonts w:hint="eastAsia"/>
                <w:lang w:val="en-US" w:eastAsia="zh-CN"/>
              </w:rPr>
              <w:t>爱国村</w:t>
            </w:r>
          </w:p>
        </w:tc>
        <w:tc>
          <w:tcPr>
            <w:tcW w:w="920" w:type="dxa"/>
            <w:noWrap w:val="0"/>
            <w:vAlign w:val="center"/>
          </w:tcPr>
          <w:p>
            <w:pPr>
              <w:pStyle w:val="25"/>
              <w:bidi w:val="0"/>
              <w:rPr>
                <w:rFonts w:hint="eastAsia"/>
                <w:lang w:val="en-US" w:eastAsia="zh-CN"/>
              </w:rPr>
            </w:pPr>
            <w:r>
              <w:rPr>
                <w:rFonts w:hint="eastAsia"/>
                <w:lang w:val="en-US" w:eastAsia="zh-CN"/>
              </w:rPr>
              <w:t>1队</w:t>
            </w:r>
          </w:p>
        </w:tc>
        <w:tc>
          <w:tcPr>
            <w:tcW w:w="1320" w:type="dxa"/>
            <w:noWrap w:val="0"/>
            <w:vAlign w:val="center"/>
          </w:tcPr>
          <w:p>
            <w:pPr>
              <w:pStyle w:val="25"/>
              <w:bidi w:val="0"/>
              <w:rPr>
                <w:rFonts w:hint="default"/>
                <w:lang w:val="en-US" w:eastAsia="zh-CN"/>
              </w:rPr>
            </w:pPr>
          </w:p>
        </w:tc>
        <w:tc>
          <w:tcPr>
            <w:tcW w:w="1040" w:type="dxa"/>
            <w:noWrap w:val="0"/>
            <w:vAlign w:val="center"/>
          </w:tcPr>
          <w:p>
            <w:pPr>
              <w:pStyle w:val="25"/>
              <w:bidi w:val="0"/>
              <w:rPr>
                <w:rFonts w:hint="default"/>
                <w:lang w:val="en-US" w:eastAsia="zh-CN"/>
              </w:rPr>
            </w:pPr>
          </w:p>
        </w:tc>
        <w:tc>
          <w:tcPr>
            <w:tcW w:w="1240" w:type="dxa"/>
            <w:noWrap w:val="0"/>
            <w:vAlign w:val="center"/>
          </w:tcPr>
          <w:p>
            <w:pPr>
              <w:pStyle w:val="25"/>
              <w:bidi w:val="0"/>
              <w:rPr>
                <w:rFonts w:hint="default"/>
                <w:lang w:val="en-US" w:eastAsia="zh-CN"/>
              </w:rPr>
            </w:pPr>
          </w:p>
        </w:tc>
        <w:tc>
          <w:tcPr>
            <w:tcW w:w="1507" w:type="dxa"/>
            <w:noWrap w:val="0"/>
            <w:vAlign w:val="center"/>
          </w:tcPr>
          <w:p>
            <w:pPr>
              <w:pStyle w:val="25"/>
              <w:bidi w:val="0"/>
              <w:rPr>
                <w:rFonts w:hint="default"/>
                <w:lang w:val="en-US" w:eastAsia="zh-CN"/>
              </w:rPr>
            </w:pPr>
          </w:p>
        </w:tc>
        <w:tc>
          <w:tcPr>
            <w:tcW w:w="947" w:type="dxa"/>
            <w:noWrap w:val="0"/>
            <w:vAlign w:val="center"/>
          </w:tcPr>
          <w:p>
            <w:pPr>
              <w:pStyle w:val="25"/>
              <w:bidi w:val="0"/>
              <w:rPr>
                <w:rFonts w:hint="default"/>
                <w:lang w:val="en-US" w:eastAsia="zh-CN"/>
              </w:rPr>
            </w:pPr>
            <w:r>
              <w:rPr>
                <w:rFonts w:hint="eastAsia"/>
                <w:lang w:val="en-US" w:eastAsia="zh-CN"/>
              </w:rPr>
              <w:t>√</w:t>
            </w:r>
          </w:p>
        </w:tc>
        <w:tc>
          <w:tcPr>
            <w:tcW w:w="1786" w:type="dxa"/>
            <w:noWrap w:val="0"/>
            <w:vAlign w:val="center"/>
          </w:tcPr>
          <w:p>
            <w:pPr>
              <w:pStyle w:val="25"/>
              <w:bidi w:val="0"/>
              <w:rPr>
                <w:rFonts w:hint="default"/>
                <w:lang w:val="en-US" w:eastAsia="zh-CN"/>
              </w:rPr>
            </w:pPr>
            <w:r>
              <w:rPr>
                <w:rFonts w:hint="eastAsia"/>
                <w:lang w:val="en-US" w:eastAsia="zh-CN"/>
              </w:rPr>
              <w:t>有效管控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4" w:type="dxa"/>
            <w:noWrap w:val="0"/>
            <w:vAlign w:val="center"/>
          </w:tcPr>
          <w:p>
            <w:pPr>
              <w:pStyle w:val="25"/>
              <w:bidi w:val="0"/>
              <w:rPr>
                <w:rFonts w:hint="default"/>
                <w:lang w:val="en-US" w:eastAsia="zh-CN"/>
              </w:rPr>
            </w:pPr>
            <w:r>
              <w:rPr>
                <w:rFonts w:hint="eastAsia"/>
                <w:lang w:val="en-US" w:eastAsia="zh-CN"/>
              </w:rPr>
              <w:t>5</w:t>
            </w:r>
          </w:p>
        </w:tc>
        <w:tc>
          <w:tcPr>
            <w:tcW w:w="1093" w:type="dxa"/>
            <w:noWrap w:val="0"/>
            <w:vAlign w:val="center"/>
          </w:tcPr>
          <w:p>
            <w:pPr>
              <w:pStyle w:val="25"/>
              <w:bidi w:val="0"/>
              <w:rPr>
                <w:rFonts w:hint="default"/>
                <w:lang w:val="en-US" w:eastAsia="zh-CN"/>
              </w:rPr>
            </w:pPr>
            <w:r>
              <w:rPr>
                <w:rFonts w:hint="eastAsia"/>
                <w:lang w:val="en-US" w:eastAsia="zh-CN"/>
              </w:rPr>
              <w:t>爱国村</w:t>
            </w:r>
          </w:p>
        </w:tc>
        <w:tc>
          <w:tcPr>
            <w:tcW w:w="920" w:type="dxa"/>
            <w:noWrap w:val="0"/>
            <w:vAlign w:val="center"/>
          </w:tcPr>
          <w:p>
            <w:pPr>
              <w:pStyle w:val="25"/>
              <w:bidi w:val="0"/>
              <w:rPr>
                <w:rFonts w:hint="eastAsia"/>
                <w:lang w:val="en-US" w:eastAsia="zh-CN"/>
              </w:rPr>
            </w:pPr>
            <w:r>
              <w:rPr>
                <w:rFonts w:hint="eastAsia"/>
                <w:lang w:val="en-US" w:eastAsia="zh-CN"/>
              </w:rPr>
              <w:t>2队</w:t>
            </w:r>
          </w:p>
        </w:tc>
        <w:tc>
          <w:tcPr>
            <w:tcW w:w="1320" w:type="dxa"/>
            <w:noWrap w:val="0"/>
            <w:vAlign w:val="center"/>
          </w:tcPr>
          <w:p>
            <w:pPr>
              <w:pStyle w:val="25"/>
              <w:bidi w:val="0"/>
              <w:rPr>
                <w:rFonts w:hint="default"/>
                <w:lang w:val="en-US" w:eastAsia="zh-CN"/>
              </w:rPr>
            </w:pPr>
          </w:p>
        </w:tc>
        <w:tc>
          <w:tcPr>
            <w:tcW w:w="1040" w:type="dxa"/>
            <w:noWrap w:val="0"/>
            <w:vAlign w:val="center"/>
          </w:tcPr>
          <w:p>
            <w:pPr>
              <w:pStyle w:val="25"/>
              <w:bidi w:val="0"/>
              <w:rPr>
                <w:rFonts w:hint="default"/>
                <w:lang w:val="en-US" w:eastAsia="zh-CN"/>
              </w:rPr>
            </w:pPr>
          </w:p>
        </w:tc>
        <w:tc>
          <w:tcPr>
            <w:tcW w:w="1240" w:type="dxa"/>
            <w:noWrap w:val="0"/>
            <w:vAlign w:val="center"/>
          </w:tcPr>
          <w:p>
            <w:pPr>
              <w:pStyle w:val="25"/>
              <w:bidi w:val="0"/>
              <w:rPr>
                <w:rFonts w:hint="default"/>
                <w:lang w:val="en-US" w:eastAsia="zh-CN"/>
              </w:rPr>
            </w:pPr>
          </w:p>
        </w:tc>
        <w:tc>
          <w:tcPr>
            <w:tcW w:w="1507" w:type="dxa"/>
            <w:noWrap w:val="0"/>
            <w:vAlign w:val="center"/>
          </w:tcPr>
          <w:p>
            <w:pPr>
              <w:pStyle w:val="25"/>
              <w:bidi w:val="0"/>
              <w:rPr>
                <w:rFonts w:hint="default"/>
                <w:lang w:val="en-US" w:eastAsia="zh-CN"/>
              </w:rPr>
            </w:pPr>
            <w:r>
              <w:rPr>
                <w:rFonts w:hint="eastAsia"/>
                <w:lang w:val="en-US" w:eastAsia="zh-CN"/>
              </w:rPr>
              <w:t>√</w:t>
            </w:r>
          </w:p>
        </w:tc>
        <w:tc>
          <w:tcPr>
            <w:tcW w:w="947" w:type="dxa"/>
            <w:noWrap w:val="0"/>
            <w:vAlign w:val="center"/>
          </w:tcPr>
          <w:p>
            <w:pPr>
              <w:pStyle w:val="25"/>
              <w:bidi w:val="0"/>
              <w:rPr>
                <w:rFonts w:hint="default"/>
                <w:lang w:val="en-US" w:eastAsia="zh-CN"/>
              </w:rPr>
            </w:pPr>
            <w:r>
              <w:rPr>
                <w:rFonts w:hint="eastAsia"/>
                <w:lang w:val="en-US" w:eastAsia="zh-CN"/>
              </w:rPr>
              <w:t>√</w:t>
            </w:r>
          </w:p>
        </w:tc>
        <w:tc>
          <w:tcPr>
            <w:tcW w:w="1786" w:type="dxa"/>
            <w:noWrap w:val="0"/>
            <w:vAlign w:val="center"/>
          </w:tcPr>
          <w:p>
            <w:pPr>
              <w:pStyle w:val="25"/>
              <w:bidi w:val="0"/>
              <w:rPr>
                <w:rFonts w:hint="default"/>
                <w:lang w:val="en-US" w:eastAsia="zh-CN"/>
              </w:rPr>
            </w:pPr>
            <w:r>
              <w:rPr>
                <w:rFonts w:hint="eastAsia"/>
                <w:lang w:val="en-US" w:eastAsia="zh-CN"/>
              </w:rPr>
              <w:t>有效管控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4" w:type="dxa"/>
            <w:noWrap w:val="0"/>
            <w:vAlign w:val="center"/>
          </w:tcPr>
          <w:p>
            <w:pPr>
              <w:pStyle w:val="25"/>
              <w:bidi w:val="0"/>
              <w:rPr>
                <w:rFonts w:hint="default"/>
                <w:lang w:val="en-US" w:eastAsia="zh-CN"/>
              </w:rPr>
            </w:pPr>
            <w:r>
              <w:rPr>
                <w:rFonts w:hint="eastAsia"/>
                <w:lang w:val="en-US" w:eastAsia="zh-CN"/>
              </w:rPr>
              <w:t>6</w:t>
            </w:r>
          </w:p>
        </w:tc>
        <w:tc>
          <w:tcPr>
            <w:tcW w:w="1093" w:type="dxa"/>
            <w:noWrap w:val="0"/>
            <w:vAlign w:val="center"/>
          </w:tcPr>
          <w:p>
            <w:pPr>
              <w:pStyle w:val="25"/>
              <w:bidi w:val="0"/>
              <w:rPr>
                <w:rFonts w:hint="default"/>
                <w:lang w:val="en-US" w:eastAsia="zh-CN"/>
              </w:rPr>
            </w:pPr>
            <w:r>
              <w:rPr>
                <w:rFonts w:hint="eastAsia"/>
                <w:lang w:val="en-US" w:eastAsia="zh-CN"/>
              </w:rPr>
              <w:t>曙光村</w:t>
            </w:r>
          </w:p>
        </w:tc>
        <w:tc>
          <w:tcPr>
            <w:tcW w:w="920" w:type="dxa"/>
            <w:noWrap w:val="0"/>
            <w:vAlign w:val="center"/>
          </w:tcPr>
          <w:p>
            <w:pPr>
              <w:pStyle w:val="25"/>
              <w:bidi w:val="0"/>
              <w:rPr>
                <w:rFonts w:hint="eastAsia"/>
                <w:lang w:val="en-US" w:eastAsia="zh-CN"/>
              </w:rPr>
            </w:pPr>
            <w:r>
              <w:rPr>
                <w:rFonts w:hint="eastAsia"/>
                <w:lang w:val="en-US" w:eastAsia="zh-CN"/>
              </w:rPr>
              <w:t>1队</w:t>
            </w:r>
          </w:p>
        </w:tc>
        <w:tc>
          <w:tcPr>
            <w:tcW w:w="1320" w:type="dxa"/>
            <w:noWrap w:val="0"/>
            <w:vAlign w:val="center"/>
          </w:tcPr>
          <w:p>
            <w:pPr>
              <w:pStyle w:val="25"/>
              <w:bidi w:val="0"/>
              <w:rPr>
                <w:rFonts w:hint="default"/>
                <w:lang w:val="en-US" w:eastAsia="zh-CN"/>
              </w:rPr>
            </w:pPr>
          </w:p>
        </w:tc>
        <w:tc>
          <w:tcPr>
            <w:tcW w:w="1040" w:type="dxa"/>
            <w:noWrap w:val="0"/>
            <w:vAlign w:val="center"/>
          </w:tcPr>
          <w:p>
            <w:pPr>
              <w:pStyle w:val="25"/>
              <w:bidi w:val="0"/>
              <w:rPr>
                <w:rFonts w:hint="default"/>
                <w:lang w:val="en-US" w:eastAsia="zh-CN"/>
              </w:rPr>
            </w:pPr>
          </w:p>
        </w:tc>
        <w:tc>
          <w:tcPr>
            <w:tcW w:w="1240" w:type="dxa"/>
            <w:noWrap w:val="0"/>
            <w:vAlign w:val="center"/>
          </w:tcPr>
          <w:p>
            <w:pPr>
              <w:pStyle w:val="25"/>
              <w:bidi w:val="0"/>
              <w:rPr>
                <w:rFonts w:hint="default"/>
                <w:lang w:val="en-US" w:eastAsia="zh-CN"/>
              </w:rPr>
            </w:pPr>
          </w:p>
        </w:tc>
        <w:tc>
          <w:tcPr>
            <w:tcW w:w="1507" w:type="dxa"/>
            <w:noWrap w:val="0"/>
            <w:vAlign w:val="center"/>
          </w:tcPr>
          <w:p>
            <w:pPr>
              <w:pStyle w:val="25"/>
              <w:bidi w:val="0"/>
              <w:rPr>
                <w:rFonts w:hint="default"/>
                <w:lang w:val="en-US" w:eastAsia="zh-CN"/>
              </w:rPr>
            </w:pPr>
          </w:p>
        </w:tc>
        <w:tc>
          <w:tcPr>
            <w:tcW w:w="947" w:type="dxa"/>
            <w:noWrap w:val="0"/>
            <w:vAlign w:val="center"/>
          </w:tcPr>
          <w:p>
            <w:pPr>
              <w:pStyle w:val="25"/>
              <w:bidi w:val="0"/>
              <w:rPr>
                <w:rFonts w:hint="default"/>
                <w:lang w:val="en-US" w:eastAsia="zh-CN"/>
              </w:rPr>
            </w:pPr>
            <w:r>
              <w:rPr>
                <w:rFonts w:hint="eastAsia"/>
                <w:lang w:val="en-US" w:eastAsia="zh-CN"/>
              </w:rPr>
              <w:t>√</w:t>
            </w:r>
          </w:p>
        </w:tc>
        <w:tc>
          <w:tcPr>
            <w:tcW w:w="1786" w:type="dxa"/>
            <w:noWrap w:val="0"/>
            <w:vAlign w:val="center"/>
          </w:tcPr>
          <w:p>
            <w:pPr>
              <w:bidi w:val="0"/>
              <w:jc w:val="center"/>
              <w:rPr>
                <w:rFonts w:hint="default"/>
                <w:sz w:val="24"/>
                <w:szCs w:val="24"/>
                <w:lang w:val="en-US" w:eastAsia="zh-CN"/>
              </w:rPr>
            </w:pPr>
            <w:r>
              <w:rPr>
                <w:rFonts w:hint="eastAsia"/>
                <w:sz w:val="24"/>
                <w:szCs w:val="24"/>
                <w:lang w:val="en-US" w:eastAsia="zh-CN"/>
              </w:rPr>
              <w:t>有效管控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4" w:type="dxa"/>
            <w:noWrap w:val="0"/>
            <w:vAlign w:val="center"/>
          </w:tcPr>
          <w:p>
            <w:pPr>
              <w:pStyle w:val="25"/>
              <w:bidi w:val="0"/>
              <w:rPr>
                <w:rFonts w:hint="default"/>
                <w:lang w:val="en-US" w:eastAsia="zh-CN"/>
              </w:rPr>
            </w:pPr>
            <w:r>
              <w:rPr>
                <w:rFonts w:hint="eastAsia"/>
                <w:lang w:val="en-US" w:eastAsia="zh-CN"/>
              </w:rPr>
              <w:t>7</w:t>
            </w:r>
          </w:p>
        </w:tc>
        <w:tc>
          <w:tcPr>
            <w:tcW w:w="1093" w:type="dxa"/>
            <w:noWrap w:val="0"/>
            <w:vAlign w:val="center"/>
          </w:tcPr>
          <w:p>
            <w:pPr>
              <w:pStyle w:val="25"/>
              <w:bidi w:val="0"/>
              <w:rPr>
                <w:rFonts w:hint="default"/>
                <w:lang w:val="en-US" w:eastAsia="zh-CN"/>
              </w:rPr>
            </w:pPr>
            <w:r>
              <w:rPr>
                <w:rFonts w:hint="eastAsia"/>
                <w:lang w:val="en-US" w:eastAsia="zh-CN"/>
              </w:rPr>
              <w:t>曙光村</w:t>
            </w:r>
          </w:p>
        </w:tc>
        <w:tc>
          <w:tcPr>
            <w:tcW w:w="920" w:type="dxa"/>
            <w:noWrap w:val="0"/>
            <w:vAlign w:val="center"/>
          </w:tcPr>
          <w:p>
            <w:pPr>
              <w:pStyle w:val="25"/>
              <w:bidi w:val="0"/>
              <w:rPr>
                <w:rFonts w:hint="eastAsia"/>
                <w:lang w:val="en-US" w:eastAsia="zh-CN"/>
              </w:rPr>
            </w:pPr>
            <w:r>
              <w:rPr>
                <w:rFonts w:hint="eastAsia"/>
                <w:lang w:val="en-US" w:eastAsia="zh-CN"/>
              </w:rPr>
              <w:t>2队</w:t>
            </w:r>
          </w:p>
        </w:tc>
        <w:tc>
          <w:tcPr>
            <w:tcW w:w="1320" w:type="dxa"/>
            <w:noWrap w:val="0"/>
            <w:vAlign w:val="center"/>
          </w:tcPr>
          <w:p>
            <w:pPr>
              <w:pStyle w:val="25"/>
              <w:bidi w:val="0"/>
              <w:rPr>
                <w:rFonts w:hint="default"/>
                <w:lang w:val="en-US" w:eastAsia="zh-CN"/>
              </w:rPr>
            </w:pPr>
          </w:p>
        </w:tc>
        <w:tc>
          <w:tcPr>
            <w:tcW w:w="1040" w:type="dxa"/>
            <w:noWrap w:val="0"/>
            <w:vAlign w:val="center"/>
          </w:tcPr>
          <w:p>
            <w:pPr>
              <w:pStyle w:val="25"/>
              <w:bidi w:val="0"/>
              <w:rPr>
                <w:rFonts w:hint="default"/>
                <w:lang w:val="en-US" w:eastAsia="zh-CN"/>
              </w:rPr>
            </w:pPr>
          </w:p>
        </w:tc>
        <w:tc>
          <w:tcPr>
            <w:tcW w:w="1240" w:type="dxa"/>
            <w:noWrap w:val="0"/>
            <w:vAlign w:val="center"/>
          </w:tcPr>
          <w:p>
            <w:pPr>
              <w:pStyle w:val="25"/>
              <w:bidi w:val="0"/>
              <w:rPr>
                <w:rFonts w:hint="default"/>
                <w:lang w:val="en-US" w:eastAsia="zh-CN"/>
              </w:rPr>
            </w:pPr>
          </w:p>
        </w:tc>
        <w:tc>
          <w:tcPr>
            <w:tcW w:w="1507" w:type="dxa"/>
            <w:noWrap w:val="0"/>
            <w:vAlign w:val="center"/>
          </w:tcPr>
          <w:p>
            <w:pPr>
              <w:pStyle w:val="25"/>
              <w:bidi w:val="0"/>
              <w:rPr>
                <w:rFonts w:hint="default"/>
                <w:lang w:val="en-US" w:eastAsia="zh-CN"/>
              </w:rPr>
            </w:pPr>
            <w:r>
              <w:rPr>
                <w:rFonts w:hint="eastAsia"/>
                <w:lang w:val="en-US" w:eastAsia="zh-CN"/>
              </w:rPr>
              <w:t>√</w:t>
            </w:r>
          </w:p>
        </w:tc>
        <w:tc>
          <w:tcPr>
            <w:tcW w:w="947" w:type="dxa"/>
            <w:noWrap w:val="0"/>
            <w:vAlign w:val="center"/>
          </w:tcPr>
          <w:p>
            <w:pPr>
              <w:pStyle w:val="25"/>
              <w:bidi w:val="0"/>
              <w:rPr>
                <w:rFonts w:hint="default"/>
                <w:lang w:val="en-US" w:eastAsia="zh-CN"/>
              </w:rPr>
            </w:pPr>
            <w:r>
              <w:rPr>
                <w:rFonts w:hint="eastAsia"/>
                <w:lang w:val="en-US" w:eastAsia="zh-CN"/>
              </w:rPr>
              <w:t>√</w:t>
            </w:r>
          </w:p>
        </w:tc>
        <w:tc>
          <w:tcPr>
            <w:tcW w:w="1786" w:type="dxa"/>
            <w:noWrap w:val="0"/>
            <w:vAlign w:val="center"/>
          </w:tcPr>
          <w:p>
            <w:pPr>
              <w:bidi w:val="0"/>
              <w:jc w:val="center"/>
              <w:rPr>
                <w:rFonts w:hint="default"/>
                <w:sz w:val="24"/>
                <w:szCs w:val="24"/>
                <w:lang w:val="en-US" w:eastAsia="zh-CN"/>
              </w:rPr>
            </w:pPr>
            <w:r>
              <w:rPr>
                <w:rFonts w:hint="eastAsia"/>
                <w:sz w:val="24"/>
                <w:szCs w:val="24"/>
                <w:lang w:val="en-US" w:eastAsia="zh-CN"/>
              </w:rPr>
              <w:t>有效管控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4" w:type="dxa"/>
            <w:noWrap w:val="0"/>
            <w:vAlign w:val="center"/>
          </w:tcPr>
          <w:p>
            <w:pPr>
              <w:pStyle w:val="25"/>
              <w:bidi w:val="0"/>
              <w:rPr>
                <w:rFonts w:hint="default"/>
                <w:lang w:val="en-US" w:eastAsia="zh-CN"/>
              </w:rPr>
            </w:pPr>
            <w:r>
              <w:rPr>
                <w:rFonts w:hint="eastAsia"/>
                <w:lang w:val="en-US" w:eastAsia="zh-CN"/>
              </w:rPr>
              <w:t>8</w:t>
            </w:r>
          </w:p>
        </w:tc>
        <w:tc>
          <w:tcPr>
            <w:tcW w:w="1093" w:type="dxa"/>
            <w:noWrap w:val="0"/>
            <w:vAlign w:val="center"/>
          </w:tcPr>
          <w:p>
            <w:pPr>
              <w:pStyle w:val="25"/>
              <w:bidi w:val="0"/>
              <w:rPr>
                <w:rFonts w:hint="default"/>
                <w:lang w:val="en-US" w:eastAsia="zh-CN"/>
              </w:rPr>
            </w:pPr>
            <w:r>
              <w:rPr>
                <w:rFonts w:hint="eastAsia"/>
                <w:lang w:val="en-US" w:eastAsia="zh-CN"/>
              </w:rPr>
              <w:t>曙光村</w:t>
            </w:r>
          </w:p>
        </w:tc>
        <w:tc>
          <w:tcPr>
            <w:tcW w:w="920" w:type="dxa"/>
            <w:noWrap w:val="0"/>
            <w:vAlign w:val="center"/>
          </w:tcPr>
          <w:p>
            <w:pPr>
              <w:pStyle w:val="25"/>
              <w:bidi w:val="0"/>
              <w:rPr>
                <w:rFonts w:hint="eastAsia"/>
                <w:lang w:val="en-US" w:eastAsia="zh-CN"/>
              </w:rPr>
            </w:pPr>
            <w:r>
              <w:rPr>
                <w:rFonts w:hint="eastAsia"/>
                <w:lang w:val="en-US" w:eastAsia="zh-CN"/>
              </w:rPr>
              <w:t>3队</w:t>
            </w:r>
          </w:p>
        </w:tc>
        <w:tc>
          <w:tcPr>
            <w:tcW w:w="1320" w:type="dxa"/>
            <w:noWrap w:val="0"/>
            <w:vAlign w:val="center"/>
          </w:tcPr>
          <w:p>
            <w:pPr>
              <w:pStyle w:val="25"/>
              <w:bidi w:val="0"/>
              <w:rPr>
                <w:rFonts w:hint="default"/>
                <w:lang w:val="en-US" w:eastAsia="zh-CN"/>
              </w:rPr>
            </w:pPr>
          </w:p>
        </w:tc>
        <w:tc>
          <w:tcPr>
            <w:tcW w:w="1040" w:type="dxa"/>
            <w:noWrap w:val="0"/>
            <w:vAlign w:val="center"/>
          </w:tcPr>
          <w:p>
            <w:pPr>
              <w:pStyle w:val="25"/>
              <w:bidi w:val="0"/>
              <w:rPr>
                <w:rFonts w:hint="default"/>
                <w:lang w:val="en-US" w:eastAsia="zh-CN"/>
              </w:rPr>
            </w:pPr>
          </w:p>
        </w:tc>
        <w:tc>
          <w:tcPr>
            <w:tcW w:w="1240" w:type="dxa"/>
            <w:noWrap w:val="0"/>
            <w:vAlign w:val="center"/>
          </w:tcPr>
          <w:p>
            <w:pPr>
              <w:pStyle w:val="25"/>
              <w:bidi w:val="0"/>
              <w:rPr>
                <w:rFonts w:hint="default"/>
                <w:lang w:val="en-US" w:eastAsia="zh-CN"/>
              </w:rPr>
            </w:pPr>
          </w:p>
        </w:tc>
        <w:tc>
          <w:tcPr>
            <w:tcW w:w="1507" w:type="dxa"/>
            <w:noWrap w:val="0"/>
            <w:vAlign w:val="center"/>
          </w:tcPr>
          <w:p>
            <w:pPr>
              <w:pStyle w:val="25"/>
              <w:bidi w:val="0"/>
              <w:rPr>
                <w:rFonts w:hint="default"/>
                <w:lang w:val="en-US" w:eastAsia="zh-CN"/>
              </w:rPr>
            </w:pPr>
          </w:p>
        </w:tc>
        <w:tc>
          <w:tcPr>
            <w:tcW w:w="947" w:type="dxa"/>
            <w:noWrap w:val="0"/>
            <w:vAlign w:val="center"/>
          </w:tcPr>
          <w:p>
            <w:pPr>
              <w:pStyle w:val="25"/>
              <w:bidi w:val="0"/>
              <w:rPr>
                <w:rFonts w:hint="default"/>
                <w:lang w:val="en-US" w:eastAsia="zh-CN"/>
              </w:rPr>
            </w:pPr>
            <w:r>
              <w:rPr>
                <w:rFonts w:hint="eastAsia"/>
                <w:lang w:val="en-US" w:eastAsia="zh-CN"/>
              </w:rPr>
              <w:t>√</w:t>
            </w:r>
          </w:p>
        </w:tc>
        <w:tc>
          <w:tcPr>
            <w:tcW w:w="1786" w:type="dxa"/>
            <w:noWrap w:val="0"/>
            <w:vAlign w:val="center"/>
          </w:tcPr>
          <w:p>
            <w:pPr>
              <w:bidi w:val="0"/>
              <w:jc w:val="center"/>
              <w:rPr>
                <w:rFonts w:hint="eastAsia"/>
                <w:sz w:val="24"/>
                <w:szCs w:val="24"/>
                <w:lang w:val="en-US" w:eastAsia="zh-CN"/>
              </w:rPr>
            </w:pPr>
            <w:r>
              <w:rPr>
                <w:rFonts w:hint="eastAsia"/>
                <w:sz w:val="24"/>
                <w:szCs w:val="24"/>
                <w:lang w:val="en-US" w:eastAsia="zh-CN"/>
              </w:rPr>
              <w:t>有效管控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4" w:type="dxa"/>
            <w:noWrap w:val="0"/>
            <w:vAlign w:val="center"/>
          </w:tcPr>
          <w:p>
            <w:pPr>
              <w:pStyle w:val="25"/>
              <w:bidi w:val="0"/>
              <w:rPr>
                <w:rFonts w:hint="default"/>
                <w:lang w:val="en-US" w:eastAsia="zh-CN"/>
              </w:rPr>
            </w:pPr>
            <w:r>
              <w:rPr>
                <w:rFonts w:hint="eastAsia"/>
                <w:lang w:val="en-US" w:eastAsia="zh-CN"/>
              </w:rPr>
              <w:t>9</w:t>
            </w:r>
          </w:p>
        </w:tc>
        <w:tc>
          <w:tcPr>
            <w:tcW w:w="1093" w:type="dxa"/>
            <w:noWrap w:val="0"/>
            <w:vAlign w:val="center"/>
          </w:tcPr>
          <w:p>
            <w:pPr>
              <w:pStyle w:val="25"/>
              <w:bidi w:val="0"/>
              <w:rPr>
                <w:rFonts w:hint="default"/>
                <w:lang w:val="en-US" w:eastAsia="zh-CN"/>
              </w:rPr>
            </w:pPr>
            <w:r>
              <w:rPr>
                <w:rFonts w:hint="eastAsia"/>
                <w:lang w:val="en-US" w:eastAsia="zh-CN"/>
              </w:rPr>
              <w:t>曙光村</w:t>
            </w:r>
          </w:p>
        </w:tc>
        <w:tc>
          <w:tcPr>
            <w:tcW w:w="920" w:type="dxa"/>
            <w:noWrap w:val="0"/>
            <w:vAlign w:val="center"/>
          </w:tcPr>
          <w:p>
            <w:pPr>
              <w:pStyle w:val="25"/>
              <w:bidi w:val="0"/>
              <w:rPr>
                <w:rFonts w:hint="eastAsia"/>
                <w:lang w:val="en-US" w:eastAsia="zh-CN"/>
              </w:rPr>
            </w:pPr>
            <w:r>
              <w:rPr>
                <w:rFonts w:hint="eastAsia"/>
                <w:lang w:val="en-US" w:eastAsia="zh-CN"/>
              </w:rPr>
              <w:t>4队</w:t>
            </w:r>
          </w:p>
        </w:tc>
        <w:tc>
          <w:tcPr>
            <w:tcW w:w="1320" w:type="dxa"/>
            <w:noWrap w:val="0"/>
            <w:vAlign w:val="center"/>
          </w:tcPr>
          <w:p>
            <w:pPr>
              <w:pStyle w:val="25"/>
              <w:bidi w:val="0"/>
              <w:rPr>
                <w:rFonts w:hint="default"/>
                <w:lang w:val="en-US" w:eastAsia="zh-CN"/>
              </w:rPr>
            </w:pPr>
          </w:p>
        </w:tc>
        <w:tc>
          <w:tcPr>
            <w:tcW w:w="1040" w:type="dxa"/>
            <w:noWrap w:val="0"/>
            <w:vAlign w:val="center"/>
          </w:tcPr>
          <w:p>
            <w:pPr>
              <w:pStyle w:val="25"/>
              <w:bidi w:val="0"/>
              <w:rPr>
                <w:rFonts w:hint="default"/>
                <w:lang w:val="en-US" w:eastAsia="zh-CN"/>
              </w:rPr>
            </w:pPr>
          </w:p>
        </w:tc>
        <w:tc>
          <w:tcPr>
            <w:tcW w:w="1240" w:type="dxa"/>
            <w:noWrap w:val="0"/>
            <w:vAlign w:val="center"/>
          </w:tcPr>
          <w:p>
            <w:pPr>
              <w:pStyle w:val="25"/>
              <w:bidi w:val="0"/>
              <w:rPr>
                <w:rFonts w:hint="eastAsia"/>
                <w:lang w:val="en-US" w:eastAsia="zh-CN"/>
              </w:rPr>
            </w:pPr>
          </w:p>
        </w:tc>
        <w:tc>
          <w:tcPr>
            <w:tcW w:w="1507" w:type="dxa"/>
            <w:noWrap w:val="0"/>
            <w:vAlign w:val="center"/>
          </w:tcPr>
          <w:p>
            <w:pPr>
              <w:pStyle w:val="25"/>
              <w:bidi w:val="0"/>
              <w:rPr>
                <w:rFonts w:hint="default"/>
                <w:lang w:val="en-US" w:eastAsia="zh-CN"/>
              </w:rPr>
            </w:pPr>
          </w:p>
        </w:tc>
        <w:tc>
          <w:tcPr>
            <w:tcW w:w="947" w:type="dxa"/>
            <w:noWrap w:val="0"/>
            <w:vAlign w:val="center"/>
          </w:tcPr>
          <w:p>
            <w:pPr>
              <w:pStyle w:val="25"/>
              <w:bidi w:val="0"/>
              <w:rPr>
                <w:rFonts w:hint="default"/>
                <w:lang w:val="en-US" w:eastAsia="zh-CN"/>
              </w:rPr>
            </w:pPr>
            <w:r>
              <w:rPr>
                <w:rFonts w:hint="eastAsia"/>
                <w:lang w:val="en-US" w:eastAsia="zh-CN"/>
              </w:rPr>
              <w:t>√</w:t>
            </w:r>
          </w:p>
        </w:tc>
        <w:tc>
          <w:tcPr>
            <w:tcW w:w="1786" w:type="dxa"/>
            <w:noWrap w:val="0"/>
            <w:vAlign w:val="center"/>
          </w:tcPr>
          <w:p>
            <w:pPr>
              <w:bidi w:val="0"/>
              <w:jc w:val="center"/>
              <w:rPr>
                <w:rFonts w:hint="default"/>
                <w:sz w:val="24"/>
                <w:szCs w:val="24"/>
                <w:lang w:val="en-US" w:eastAsia="zh-CN"/>
              </w:rPr>
            </w:pPr>
            <w:r>
              <w:rPr>
                <w:rFonts w:hint="eastAsia"/>
                <w:sz w:val="24"/>
                <w:szCs w:val="24"/>
                <w:lang w:val="en-US" w:eastAsia="zh-CN"/>
              </w:rPr>
              <w:t>有效管控</w:t>
            </w:r>
          </w:p>
        </w:tc>
      </w:tr>
      <w:bookmarkEnd w:id="164"/>
      <w:bookmarkEnd w:id="165"/>
    </w:tbl>
    <w:p>
      <w:pPr>
        <w:pStyle w:val="7"/>
        <w:outlineLvl w:val="1"/>
        <w:rPr>
          <w:rFonts w:hint="default" w:eastAsia="宋体"/>
          <w:lang w:val="en-US" w:eastAsia="zh-CN"/>
        </w:rPr>
      </w:pPr>
      <w:bookmarkStart w:id="166" w:name="_Toc397_WPSOffice_Level2"/>
      <w:bookmarkStart w:id="167" w:name="_Toc31498"/>
      <w:bookmarkStart w:id="168" w:name="_Toc11606"/>
      <w:bookmarkStart w:id="169" w:name="_Toc193"/>
      <w:bookmarkStart w:id="170" w:name="_Toc19007_WPSOffice_Level2"/>
      <w:bookmarkStart w:id="171" w:name="_Toc15113"/>
      <w:bookmarkStart w:id="172" w:name="_Toc22915"/>
      <w:bookmarkStart w:id="173" w:name="_Toc9162"/>
      <w:r>
        <w:rPr>
          <w:rFonts w:hint="eastAsia"/>
        </w:rPr>
        <w:t>4.</w:t>
      </w:r>
      <w:r>
        <w:rPr>
          <w:rFonts w:hint="eastAsia"/>
          <w:lang w:val="en-US" w:eastAsia="zh-CN"/>
        </w:rPr>
        <w:t>2</w:t>
      </w:r>
      <w:r>
        <w:t>污水</w:t>
      </w:r>
      <w:bookmarkEnd w:id="166"/>
      <w:bookmarkEnd w:id="167"/>
      <w:bookmarkEnd w:id="168"/>
      <w:bookmarkEnd w:id="169"/>
      <w:bookmarkEnd w:id="170"/>
      <w:r>
        <w:rPr>
          <w:rFonts w:hint="eastAsia"/>
          <w:lang w:val="en-US" w:eastAsia="zh-CN"/>
        </w:rPr>
        <w:t>资源化利用</w:t>
      </w:r>
      <w:bookmarkEnd w:id="171"/>
      <w:bookmarkEnd w:id="172"/>
      <w:bookmarkEnd w:id="173"/>
    </w:p>
    <w:p>
      <w:pPr>
        <w:pStyle w:val="7"/>
      </w:pPr>
      <w:r>
        <w:rPr>
          <w:rFonts w:hint="eastAsia"/>
        </w:rPr>
        <w:t>4</w:t>
      </w:r>
      <w:r>
        <w:t>.</w:t>
      </w:r>
      <w:r>
        <w:rPr>
          <w:rFonts w:hint="eastAsia"/>
          <w:lang w:val="en-US" w:eastAsia="zh-CN"/>
        </w:rPr>
        <w:t>2</w:t>
      </w:r>
      <w:r>
        <w:t>.1</w:t>
      </w:r>
      <w:r>
        <w:rPr>
          <w:rFonts w:hint="eastAsia"/>
        </w:rPr>
        <w:t>污水</w:t>
      </w:r>
      <w:r>
        <w:rPr>
          <w:rFonts w:hint="eastAsia"/>
          <w:lang w:val="en-US" w:eastAsia="zh-CN"/>
        </w:rPr>
        <w:t>资源化利用</w:t>
      </w:r>
      <w:r>
        <w:rPr>
          <w:rFonts w:hint="eastAsia"/>
        </w:rPr>
        <w:t>方式</w:t>
      </w:r>
    </w:p>
    <w:p>
      <w:pPr>
        <w:pStyle w:val="2"/>
        <w:ind w:firstLine="560"/>
      </w:pPr>
      <w:r>
        <w:rPr>
          <w:rFonts w:hint="eastAsia"/>
          <w:lang w:val="en-US" w:eastAsia="zh-CN"/>
        </w:rPr>
        <w:t>资源化利用</w:t>
      </w:r>
      <w:r>
        <w:rPr>
          <w:rFonts w:hint="eastAsia"/>
        </w:rPr>
        <w:t>是对农村生活污水最理想的处理形式，既减少水肥资源的浪费，又避免环境污染，同时还能减少污水处理的费用。</w:t>
      </w:r>
      <w:r>
        <w:rPr>
          <w:rFonts w:hint="eastAsia"/>
          <w:lang w:val="en-US" w:eastAsia="zh-CN"/>
        </w:rPr>
        <w:t>资源化利用</w:t>
      </w:r>
      <w:r>
        <w:rPr>
          <w:rFonts w:hint="eastAsia"/>
        </w:rPr>
        <w:t>无需完全按照有关污水处理厂的排放标准对生活污水进行处理，而是按照相关用途和避免对环境造成影响而将其处理到适宜的程度。根据用途的不同，处理的程度以及对单项污染物的控制指标也可不同。</w:t>
      </w:r>
      <w:r>
        <w:rPr>
          <w:rFonts w:hint="eastAsia"/>
          <w:lang w:eastAsia="zh-CN"/>
        </w:rPr>
        <w:t>资源化利用</w:t>
      </w:r>
      <w:r>
        <w:rPr>
          <w:rFonts w:hint="eastAsia"/>
        </w:rPr>
        <w:t>方式主要由以下两种：</w:t>
      </w:r>
    </w:p>
    <w:p>
      <w:pPr>
        <w:pStyle w:val="2"/>
        <w:ind w:firstLine="560"/>
      </w:pPr>
      <w:r>
        <w:rPr>
          <w:rFonts w:hint="eastAsia"/>
        </w:rPr>
        <w:t>一是农户内部</w:t>
      </w:r>
      <w:r>
        <w:rPr>
          <w:rFonts w:hint="eastAsia"/>
          <w:lang w:eastAsia="zh-CN"/>
        </w:rPr>
        <w:t>资源化利用</w:t>
      </w:r>
      <w:r>
        <w:rPr>
          <w:rFonts w:hint="eastAsia"/>
        </w:rPr>
        <w:t>，对农村人口较少的村庄，以卫生厕所改造为重点，在污水管控的基础上就地就近实现污水的</w:t>
      </w:r>
      <w:r>
        <w:rPr>
          <w:rFonts w:hint="eastAsia"/>
          <w:lang w:eastAsia="zh-CN"/>
        </w:rPr>
        <w:t>资源化利用</w:t>
      </w:r>
      <w:r>
        <w:rPr>
          <w:rFonts w:hint="eastAsia"/>
        </w:rPr>
        <w:t>及处置；</w:t>
      </w:r>
    </w:p>
    <w:p>
      <w:pPr>
        <w:pStyle w:val="2"/>
        <w:ind w:firstLine="560"/>
        <w:rPr>
          <w:rFonts w:hint="eastAsia"/>
        </w:rPr>
      </w:pPr>
      <w:r>
        <w:rPr>
          <w:rFonts w:hint="eastAsia"/>
        </w:rPr>
        <w:t>二是整村</w:t>
      </w:r>
      <w:r>
        <w:rPr>
          <w:rFonts w:hint="eastAsia"/>
          <w:lang w:eastAsia="zh-CN"/>
        </w:rPr>
        <w:t>资源化利用</w:t>
      </w:r>
      <w:r>
        <w:rPr>
          <w:rFonts w:hint="eastAsia"/>
        </w:rPr>
        <w:t>，对农村生活集中式收集后处理深度回用，经深度处理后的生活污水可用作灌溉用水、养殖业的卫生用水以及城乡杂用水等。</w:t>
      </w:r>
    </w:p>
    <w:p>
      <w:pPr>
        <w:pStyle w:val="2"/>
        <w:ind w:firstLine="560"/>
        <w:rPr>
          <w:rFonts w:hint="eastAsia"/>
        </w:rPr>
      </w:pPr>
      <w:r>
        <w:rPr>
          <w:rFonts w:hint="eastAsia"/>
        </w:rPr>
        <w:t>1）灌溉用水</w:t>
      </w:r>
    </w:p>
    <w:p>
      <w:pPr>
        <w:pStyle w:val="2"/>
        <w:ind w:firstLine="560"/>
        <w:rPr>
          <w:rFonts w:hint="eastAsia"/>
        </w:rPr>
      </w:pPr>
      <w:r>
        <w:rPr>
          <w:rFonts w:hint="eastAsia"/>
        </w:rPr>
        <w:t>农村生活污水是重要的水肥资源，含有氮、磷、钾、锌、镁等多种植物营养成分，有丰富的有机质悬浮物，如果用于灌溉，不仅可为种植业提供优质肥源，而且还能够为土壤中的有益微生物提供食物，提高微生物活性，使之在改善土壤结构方面发挥作用，为保持和提高土壤肥力做出重要贡献。</w:t>
      </w:r>
    </w:p>
    <w:p>
      <w:pPr>
        <w:pStyle w:val="2"/>
        <w:ind w:firstLine="560"/>
        <w:rPr>
          <w:rFonts w:hint="eastAsia"/>
        </w:rPr>
      </w:pPr>
      <w:r>
        <w:rPr>
          <w:rFonts w:hint="eastAsia"/>
        </w:rPr>
        <w:t>2）城乡杂用水</w:t>
      </w:r>
    </w:p>
    <w:p>
      <w:pPr>
        <w:pStyle w:val="2"/>
        <w:ind w:firstLine="560"/>
      </w:pPr>
      <w:r>
        <w:rPr>
          <w:rFonts w:hint="eastAsia"/>
        </w:rPr>
        <w:t>对于城乡一体化的生活污水，可将农村生活污水和城镇生活污水收集集中处理，处理后的尾水可深度回用到城乡杂用水或景观用水，由于农村污水量小，变化系数大，可将相近的多个农村和城镇的生活污水集中收集处理后回用到城乡杂用。</w:t>
      </w:r>
    </w:p>
    <w:p>
      <w:pPr>
        <w:pStyle w:val="7"/>
        <w:outlineLvl w:val="1"/>
        <w:rPr>
          <w:rFonts w:hint="eastAsia"/>
        </w:rPr>
      </w:pPr>
      <w:bookmarkStart w:id="174" w:name="_Toc19431_WPSOffice_Level2"/>
      <w:bookmarkStart w:id="175" w:name="_Toc8506"/>
      <w:bookmarkStart w:id="176" w:name="_Toc31307"/>
      <w:bookmarkStart w:id="177" w:name="_Toc25224_WPSOffice_Level3"/>
      <w:bookmarkStart w:id="178" w:name="_Toc8367"/>
      <w:bookmarkStart w:id="179" w:name="_Toc23345"/>
      <w:bookmarkStart w:id="180" w:name="_Toc24548_WPSOffice_Level2"/>
      <w:bookmarkStart w:id="181" w:name="_Toc31849"/>
      <w:bookmarkStart w:id="182" w:name="_Toc18359"/>
      <w:bookmarkStart w:id="183" w:name="_Toc3965"/>
      <w:r>
        <w:rPr>
          <w:rFonts w:hint="eastAsia"/>
        </w:rPr>
        <w:t>4.</w:t>
      </w:r>
      <w:r>
        <w:rPr>
          <w:rFonts w:hint="eastAsia"/>
          <w:lang w:val="en-US" w:eastAsia="zh-CN"/>
        </w:rPr>
        <w:t>3</w:t>
      </w:r>
      <w:r>
        <w:rPr>
          <w:rFonts w:hint="eastAsia"/>
        </w:rPr>
        <w:t>出水执行标准</w:t>
      </w:r>
      <w:bookmarkEnd w:id="174"/>
      <w:bookmarkEnd w:id="175"/>
      <w:bookmarkEnd w:id="176"/>
      <w:bookmarkEnd w:id="177"/>
      <w:bookmarkEnd w:id="178"/>
      <w:bookmarkEnd w:id="179"/>
      <w:bookmarkEnd w:id="180"/>
      <w:bookmarkEnd w:id="181"/>
      <w:bookmarkEnd w:id="182"/>
      <w:bookmarkEnd w:id="183"/>
    </w:p>
    <w:p>
      <w:pPr>
        <w:pStyle w:val="2"/>
        <w:rPr>
          <w:rFonts w:hint="eastAsia"/>
        </w:rPr>
      </w:pPr>
      <w:bookmarkStart w:id="184" w:name="_Toc30682_WPSOffice_Level2"/>
      <w:bookmarkStart w:id="185" w:name="_Toc31788"/>
      <w:bookmarkStart w:id="186" w:name="_Toc17330_WPSOffice_Level2"/>
      <w:bookmarkStart w:id="187" w:name="_Toc12464"/>
      <w:bookmarkStart w:id="188" w:name="_Toc11123"/>
      <w:r>
        <w:rPr>
          <w:rFonts w:hint="eastAsia"/>
          <w:lang w:val="en-US" w:eastAsia="zh-CN"/>
        </w:rPr>
        <w:t>化粪池出水采取尾水还田进行处置，其</w:t>
      </w:r>
      <w:r>
        <w:rPr>
          <w:rFonts w:hint="eastAsia"/>
        </w:rPr>
        <w:t>排水应满足</w:t>
      </w:r>
      <w:r>
        <w:rPr>
          <w:rFonts w:hint="eastAsia"/>
          <w:lang w:val="en-US" w:eastAsia="zh-CN"/>
        </w:rPr>
        <w:t>《农田灌溉水质标准》（GB5084-2005）</w:t>
      </w:r>
      <w:r>
        <w:rPr>
          <w:rFonts w:hint="eastAsia"/>
        </w:rPr>
        <w:t>中标准限值要求。</w:t>
      </w:r>
    </w:p>
    <w:p>
      <w:pPr>
        <w:pStyle w:val="3"/>
        <w:rPr>
          <w:rFonts w:hint="eastAsia"/>
        </w:rPr>
      </w:pPr>
    </w:p>
    <w:p>
      <w:pPr>
        <w:rPr>
          <w:rFonts w:hint="eastAsia"/>
        </w:rPr>
      </w:pPr>
    </w:p>
    <w:p>
      <w:pPr>
        <w:pStyle w:val="2"/>
        <w:rPr>
          <w:rFonts w:hint="eastAsia"/>
        </w:rPr>
      </w:pPr>
    </w:p>
    <w:p>
      <w:pPr>
        <w:pStyle w:val="3"/>
        <w:rPr>
          <w:rFonts w:hint="eastAsia"/>
        </w:rPr>
      </w:pPr>
    </w:p>
    <w:p>
      <w:pPr>
        <w:rPr>
          <w:rFonts w:hint="eastAsia"/>
        </w:rPr>
      </w:pPr>
    </w:p>
    <w:p>
      <w:pPr>
        <w:pStyle w:val="2"/>
        <w:rPr>
          <w:rFonts w:hint="eastAsia"/>
        </w:rPr>
      </w:pPr>
    </w:p>
    <w:p>
      <w:pPr>
        <w:pStyle w:val="3"/>
        <w:rPr>
          <w:rFonts w:hint="eastAsia"/>
        </w:rPr>
      </w:pPr>
    </w:p>
    <w:p>
      <w:pPr>
        <w:pStyle w:val="24"/>
        <w:rPr>
          <w:rFonts w:hint="default" w:eastAsia="宋体"/>
          <w:lang w:val="en-US" w:eastAsia="zh-CN"/>
        </w:rPr>
      </w:pPr>
      <w:r>
        <w:rPr>
          <w:rFonts w:hint="eastAsia"/>
        </w:rPr>
        <w:t>表4-</w:t>
      </w:r>
      <w:r>
        <w:rPr>
          <w:rFonts w:hint="eastAsia"/>
          <w:lang w:val="en-US" w:eastAsia="zh-CN"/>
        </w:rPr>
        <w:t>3</w:t>
      </w:r>
      <w:r>
        <w:rPr>
          <w:rFonts w:hint="eastAsia"/>
        </w:rPr>
        <w:t xml:space="preserve">   </w:t>
      </w:r>
      <w:r>
        <w:rPr>
          <w:rFonts w:hint="eastAsia"/>
          <w:lang w:val="en-US" w:eastAsia="zh-CN"/>
        </w:rPr>
        <w:t>农田灌溉用水水质基本控制项目标准值</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7"/>
        <w:gridCol w:w="3219"/>
        <w:gridCol w:w="2098"/>
        <w:gridCol w:w="2099"/>
        <w:gridCol w:w="2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dxa"/>
            <w:vMerge w:val="restart"/>
            <w:noWrap w:val="0"/>
            <w:vAlign w:val="center"/>
          </w:tcPr>
          <w:p>
            <w:pPr>
              <w:jc w:val="center"/>
              <w:rPr>
                <w:rFonts w:hint="eastAsia" w:eastAsia="宋体"/>
                <w:sz w:val="24"/>
                <w:szCs w:val="22"/>
                <w:vertAlign w:val="baseline"/>
                <w:lang w:val="en-US" w:eastAsia="zh-CN"/>
              </w:rPr>
            </w:pPr>
            <w:r>
              <w:rPr>
                <w:rFonts w:hint="eastAsia"/>
                <w:sz w:val="24"/>
                <w:szCs w:val="22"/>
                <w:vertAlign w:val="baseline"/>
                <w:lang w:val="en-US" w:eastAsia="zh-CN"/>
              </w:rPr>
              <w:t>序号</w:t>
            </w:r>
          </w:p>
        </w:tc>
        <w:tc>
          <w:tcPr>
            <w:tcW w:w="3219" w:type="dxa"/>
            <w:vMerge w:val="restart"/>
            <w:noWrap w:val="0"/>
            <w:vAlign w:val="center"/>
          </w:tcPr>
          <w:p>
            <w:pPr>
              <w:jc w:val="center"/>
              <w:rPr>
                <w:rFonts w:hint="default" w:eastAsia="宋体"/>
                <w:sz w:val="24"/>
                <w:szCs w:val="22"/>
                <w:vertAlign w:val="baseline"/>
                <w:lang w:val="en-US" w:eastAsia="zh-CN"/>
              </w:rPr>
            </w:pPr>
            <w:r>
              <w:rPr>
                <w:rFonts w:hint="eastAsia"/>
                <w:sz w:val="24"/>
                <w:szCs w:val="22"/>
                <w:vertAlign w:val="baseline"/>
                <w:lang w:val="en-US" w:eastAsia="zh-CN"/>
              </w:rPr>
              <w:t>项目类别</w:t>
            </w:r>
          </w:p>
        </w:tc>
        <w:tc>
          <w:tcPr>
            <w:tcW w:w="6296" w:type="dxa"/>
            <w:gridSpan w:val="3"/>
            <w:noWrap w:val="0"/>
            <w:vAlign w:val="center"/>
          </w:tcPr>
          <w:p>
            <w:pPr>
              <w:jc w:val="center"/>
              <w:rPr>
                <w:rFonts w:hint="default" w:eastAsia="宋体"/>
                <w:sz w:val="24"/>
                <w:szCs w:val="22"/>
                <w:vertAlign w:val="baseline"/>
                <w:lang w:val="en-US" w:eastAsia="zh-CN"/>
              </w:rPr>
            </w:pPr>
            <w:r>
              <w:rPr>
                <w:rFonts w:hint="eastAsia"/>
                <w:sz w:val="24"/>
                <w:szCs w:val="22"/>
                <w:vertAlign w:val="baseline"/>
                <w:lang w:val="en-US" w:eastAsia="zh-CN"/>
              </w:rPr>
              <w:t>作物种类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dxa"/>
            <w:vMerge w:val="continue"/>
            <w:noWrap w:val="0"/>
            <w:vAlign w:val="center"/>
          </w:tcPr>
          <w:p>
            <w:pPr>
              <w:jc w:val="center"/>
              <w:rPr>
                <w:rFonts w:hint="eastAsia"/>
                <w:sz w:val="24"/>
                <w:szCs w:val="22"/>
                <w:vertAlign w:val="baseline"/>
              </w:rPr>
            </w:pPr>
          </w:p>
        </w:tc>
        <w:tc>
          <w:tcPr>
            <w:tcW w:w="3219" w:type="dxa"/>
            <w:vMerge w:val="continue"/>
            <w:noWrap w:val="0"/>
            <w:vAlign w:val="center"/>
          </w:tcPr>
          <w:p>
            <w:pPr>
              <w:jc w:val="center"/>
              <w:rPr>
                <w:rFonts w:hint="eastAsia"/>
                <w:sz w:val="24"/>
                <w:szCs w:val="22"/>
                <w:vertAlign w:val="baseline"/>
              </w:rPr>
            </w:pPr>
          </w:p>
        </w:tc>
        <w:tc>
          <w:tcPr>
            <w:tcW w:w="2098"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水作</w:t>
            </w:r>
          </w:p>
        </w:tc>
        <w:tc>
          <w:tcPr>
            <w:tcW w:w="2099"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旱作</w:t>
            </w:r>
          </w:p>
        </w:tc>
        <w:tc>
          <w:tcPr>
            <w:tcW w:w="2099"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蔬菜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1</w:t>
            </w:r>
          </w:p>
        </w:tc>
        <w:tc>
          <w:tcPr>
            <w:tcW w:w="3219"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五日生化需氧量/（mg/l）  ≤</w:t>
            </w:r>
          </w:p>
        </w:tc>
        <w:tc>
          <w:tcPr>
            <w:tcW w:w="2098"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60</w:t>
            </w:r>
          </w:p>
        </w:tc>
        <w:tc>
          <w:tcPr>
            <w:tcW w:w="2099"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100</w:t>
            </w:r>
          </w:p>
        </w:tc>
        <w:tc>
          <w:tcPr>
            <w:tcW w:w="2099"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40</w:t>
            </w:r>
            <w:r>
              <w:rPr>
                <w:rFonts w:hint="default" w:ascii="Times New Roman" w:hAnsi="Times New Roman" w:cs="Times New Roman"/>
                <w:sz w:val="24"/>
                <w:szCs w:val="22"/>
                <w:vertAlign w:val="superscript"/>
                <w:lang w:val="en-US" w:eastAsia="zh-CN"/>
              </w:rPr>
              <w:t>a</w:t>
            </w:r>
            <w:r>
              <w:rPr>
                <w:rFonts w:hint="default" w:ascii="Times New Roman" w:hAnsi="Times New Roman" w:cs="Times New Roman"/>
                <w:sz w:val="24"/>
                <w:szCs w:val="22"/>
                <w:vertAlign w:val="baseline"/>
                <w:lang w:val="en-US" w:eastAsia="zh-CN"/>
              </w:rPr>
              <w:t>，15</w:t>
            </w:r>
            <w:r>
              <w:rPr>
                <w:rFonts w:hint="default" w:ascii="Times New Roman" w:hAnsi="Times New Roman" w:cs="Times New Roman"/>
                <w:sz w:val="24"/>
                <w:szCs w:val="22"/>
                <w:vertAlign w:val="superscript"/>
                <w:lang w:val="en-US" w:eastAsia="zh-CN"/>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2</w:t>
            </w:r>
          </w:p>
        </w:tc>
        <w:tc>
          <w:tcPr>
            <w:tcW w:w="3219"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化学需氧量/（mg/l）      ≤</w:t>
            </w:r>
          </w:p>
        </w:tc>
        <w:tc>
          <w:tcPr>
            <w:tcW w:w="2098"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150</w:t>
            </w:r>
          </w:p>
        </w:tc>
        <w:tc>
          <w:tcPr>
            <w:tcW w:w="2099"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200</w:t>
            </w:r>
          </w:p>
        </w:tc>
        <w:tc>
          <w:tcPr>
            <w:tcW w:w="2099"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100</w:t>
            </w:r>
            <w:r>
              <w:rPr>
                <w:rFonts w:hint="default" w:ascii="Times New Roman" w:hAnsi="Times New Roman" w:cs="Times New Roman"/>
                <w:sz w:val="24"/>
                <w:szCs w:val="22"/>
                <w:vertAlign w:val="superscript"/>
                <w:lang w:val="en-US" w:eastAsia="zh-CN"/>
              </w:rPr>
              <w:t>a</w:t>
            </w:r>
            <w:r>
              <w:rPr>
                <w:rFonts w:hint="default" w:ascii="Times New Roman" w:hAnsi="Times New Roman" w:cs="Times New Roman"/>
                <w:sz w:val="24"/>
                <w:szCs w:val="22"/>
                <w:vertAlign w:val="baseline"/>
                <w:lang w:val="en-US" w:eastAsia="zh-CN"/>
              </w:rPr>
              <w:t>，60</w:t>
            </w:r>
            <w:r>
              <w:rPr>
                <w:rFonts w:hint="default" w:ascii="Times New Roman" w:hAnsi="Times New Roman" w:cs="Times New Roman"/>
                <w:sz w:val="24"/>
                <w:szCs w:val="22"/>
                <w:vertAlign w:val="superscript"/>
                <w:lang w:val="en-US" w:eastAsia="zh-CN"/>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3</w:t>
            </w:r>
          </w:p>
        </w:tc>
        <w:tc>
          <w:tcPr>
            <w:tcW w:w="3219"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悬浮物/（mg/l）          ≤</w:t>
            </w:r>
          </w:p>
        </w:tc>
        <w:tc>
          <w:tcPr>
            <w:tcW w:w="2098"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80</w:t>
            </w:r>
          </w:p>
        </w:tc>
        <w:tc>
          <w:tcPr>
            <w:tcW w:w="2099"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100</w:t>
            </w:r>
          </w:p>
        </w:tc>
        <w:tc>
          <w:tcPr>
            <w:tcW w:w="2099"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60</w:t>
            </w:r>
            <w:r>
              <w:rPr>
                <w:rFonts w:hint="default" w:ascii="Times New Roman" w:hAnsi="Times New Roman" w:cs="Times New Roman"/>
                <w:sz w:val="24"/>
                <w:szCs w:val="22"/>
                <w:vertAlign w:val="superscript"/>
                <w:lang w:val="en-US" w:eastAsia="zh-CN"/>
              </w:rPr>
              <w:t>a</w:t>
            </w:r>
            <w:r>
              <w:rPr>
                <w:rFonts w:hint="default" w:ascii="Times New Roman" w:hAnsi="Times New Roman" w:cs="Times New Roman"/>
                <w:sz w:val="24"/>
                <w:szCs w:val="22"/>
                <w:vertAlign w:val="baseline"/>
                <w:lang w:val="en-US" w:eastAsia="zh-CN"/>
              </w:rPr>
              <w:t>，15</w:t>
            </w:r>
            <w:r>
              <w:rPr>
                <w:rFonts w:hint="default" w:ascii="Times New Roman" w:hAnsi="Times New Roman" w:cs="Times New Roman"/>
                <w:sz w:val="24"/>
                <w:szCs w:val="22"/>
                <w:vertAlign w:val="superscript"/>
                <w:lang w:val="en-US" w:eastAsia="zh-CN"/>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4</w:t>
            </w:r>
          </w:p>
        </w:tc>
        <w:tc>
          <w:tcPr>
            <w:tcW w:w="3219"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阴离子表面活性/（mg/l）  ≤</w:t>
            </w:r>
          </w:p>
        </w:tc>
        <w:tc>
          <w:tcPr>
            <w:tcW w:w="2098"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5</w:t>
            </w:r>
          </w:p>
        </w:tc>
        <w:tc>
          <w:tcPr>
            <w:tcW w:w="2099"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8</w:t>
            </w:r>
          </w:p>
        </w:tc>
        <w:tc>
          <w:tcPr>
            <w:tcW w:w="2099"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5</w:t>
            </w:r>
          </w:p>
        </w:tc>
        <w:tc>
          <w:tcPr>
            <w:tcW w:w="3219"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水温/℃                ≤</w:t>
            </w:r>
          </w:p>
        </w:tc>
        <w:tc>
          <w:tcPr>
            <w:tcW w:w="6296" w:type="dxa"/>
            <w:gridSpan w:val="3"/>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6</w:t>
            </w:r>
          </w:p>
        </w:tc>
        <w:tc>
          <w:tcPr>
            <w:tcW w:w="3219"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pH                    ≤</w:t>
            </w:r>
          </w:p>
        </w:tc>
        <w:tc>
          <w:tcPr>
            <w:tcW w:w="6296" w:type="dxa"/>
            <w:gridSpan w:val="3"/>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5.5~8.5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7</w:t>
            </w:r>
          </w:p>
        </w:tc>
        <w:tc>
          <w:tcPr>
            <w:tcW w:w="3219"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全盐量/（mg/l）          ≤</w:t>
            </w:r>
          </w:p>
        </w:tc>
        <w:tc>
          <w:tcPr>
            <w:tcW w:w="6296" w:type="dxa"/>
            <w:gridSpan w:val="3"/>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1000c（非盐碱土地区），2000（盐碱土地区）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8</w:t>
            </w:r>
          </w:p>
        </w:tc>
        <w:tc>
          <w:tcPr>
            <w:tcW w:w="3219"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氯化物/（mg/l）          ≤</w:t>
            </w:r>
          </w:p>
        </w:tc>
        <w:tc>
          <w:tcPr>
            <w:tcW w:w="6296" w:type="dxa"/>
            <w:gridSpan w:val="3"/>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9</w:t>
            </w:r>
          </w:p>
        </w:tc>
        <w:tc>
          <w:tcPr>
            <w:tcW w:w="3219"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硫化物/（mg/l）         ≤</w:t>
            </w:r>
          </w:p>
        </w:tc>
        <w:tc>
          <w:tcPr>
            <w:tcW w:w="6296" w:type="dxa"/>
            <w:gridSpan w:val="3"/>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10</w:t>
            </w:r>
          </w:p>
        </w:tc>
        <w:tc>
          <w:tcPr>
            <w:tcW w:w="3219"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总汞/（mg/l）            ≤</w:t>
            </w:r>
          </w:p>
        </w:tc>
        <w:tc>
          <w:tcPr>
            <w:tcW w:w="6296" w:type="dxa"/>
            <w:gridSpan w:val="3"/>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11</w:t>
            </w:r>
          </w:p>
        </w:tc>
        <w:tc>
          <w:tcPr>
            <w:tcW w:w="3219"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镉/（mg/l）              ≤</w:t>
            </w:r>
          </w:p>
        </w:tc>
        <w:tc>
          <w:tcPr>
            <w:tcW w:w="6296" w:type="dxa"/>
            <w:gridSpan w:val="3"/>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12</w:t>
            </w:r>
          </w:p>
        </w:tc>
        <w:tc>
          <w:tcPr>
            <w:tcW w:w="3219"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总砷/（mg/l）            ≤</w:t>
            </w:r>
          </w:p>
        </w:tc>
        <w:tc>
          <w:tcPr>
            <w:tcW w:w="2098"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0.05</w:t>
            </w:r>
          </w:p>
        </w:tc>
        <w:tc>
          <w:tcPr>
            <w:tcW w:w="2099"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0.1</w:t>
            </w:r>
          </w:p>
        </w:tc>
        <w:tc>
          <w:tcPr>
            <w:tcW w:w="2099"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13</w:t>
            </w:r>
          </w:p>
        </w:tc>
        <w:tc>
          <w:tcPr>
            <w:tcW w:w="3219"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 xml:space="preserve">铬（六价）/（mg/l）     ≤     </w:t>
            </w:r>
          </w:p>
        </w:tc>
        <w:tc>
          <w:tcPr>
            <w:tcW w:w="6296" w:type="dxa"/>
            <w:gridSpan w:val="3"/>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14</w:t>
            </w:r>
          </w:p>
        </w:tc>
        <w:tc>
          <w:tcPr>
            <w:tcW w:w="3219"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铅/（mg/l）             ≤</w:t>
            </w:r>
          </w:p>
        </w:tc>
        <w:tc>
          <w:tcPr>
            <w:tcW w:w="6296" w:type="dxa"/>
            <w:gridSpan w:val="3"/>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15</w:t>
            </w:r>
          </w:p>
        </w:tc>
        <w:tc>
          <w:tcPr>
            <w:tcW w:w="3219"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粪大肠菌群/（个/100ml）  ≤</w:t>
            </w:r>
          </w:p>
        </w:tc>
        <w:tc>
          <w:tcPr>
            <w:tcW w:w="2098"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4000</w:t>
            </w:r>
          </w:p>
        </w:tc>
        <w:tc>
          <w:tcPr>
            <w:tcW w:w="2099"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4000</w:t>
            </w:r>
          </w:p>
        </w:tc>
        <w:tc>
          <w:tcPr>
            <w:tcW w:w="2099"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2000</w:t>
            </w:r>
            <w:r>
              <w:rPr>
                <w:rFonts w:hint="default" w:ascii="Times New Roman" w:hAnsi="Times New Roman" w:cs="Times New Roman"/>
                <w:sz w:val="24"/>
                <w:szCs w:val="22"/>
                <w:vertAlign w:val="superscript"/>
                <w:lang w:val="en-US" w:eastAsia="zh-CN"/>
              </w:rPr>
              <w:t>a</w:t>
            </w:r>
            <w:r>
              <w:rPr>
                <w:rFonts w:hint="default" w:ascii="Times New Roman" w:hAnsi="Times New Roman" w:cs="Times New Roman"/>
                <w:sz w:val="24"/>
                <w:szCs w:val="22"/>
                <w:vertAlign w:val="baseline"/>
                <w:lang w:val="en-US" w:eastAsia="zh-CN"/>
              </w:rPr>
              <w:t>，1000</w:t>
            </w:r>
            <w:r>
              <w:rPr>
                <w:rFonts w:hint="default" w:ascii="Times New Roman" w:hAnsi="Times New Roman" w:cs="Times New Roman"/>
                <w:sz w:val="24"/>
                <w:szCs w:val="22"/>
                <w:vertAlign w:val="superscript"/>
                <w:lang w:val="en-US" w:eastAsia="zh-CN"/>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16</w:t>
            </w:r>
          </w:p>
        </w:tc>
        <w:tc>
          <w:tcPr>
            <w:tcW w:w="3219"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蛔虫卵数/（个/L）        ≤</w:t>
            </w:r>
          </w:p>
        </w:tc>
        <w:tc>
          <w:tcPr>
            <w:tcW w:w="4197" w:type="dxa"/>
            <w:gridSpan w:val="2"/>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2</w:t>
            </w:r>
          </w:p>
        </w:tc>
        <w:tc>
          <w:tcPr>
            <w:tcW w:w="2099" w:type="dxa"/>
            <w:noWrap w:val="0"/>
            <w:vAlign w:val="center"/>
          </w:tcPr>
          <w:p>
            <w:pPr>
              <w:jc w:val="center"/>
              <w:rPr>
                <w:rFonts w:hint="default" w:ascii="Times New Roman" w:hAnsi="Times New Roman" w:eastAsia="宋体"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2</w:t>
            </w:r>
            <w:r>
              <w:rPr>
                <w:rFonts w:hint="default" w:ascii="Times New Roman" w:hAnsi="Times New Roman" w:cs="Times New Roman"/>
                <w:sz w:val="24"/>
                <w:szCs w:val="22"/>
                <w:vertAlign w:val="superscript"/>
                <w:lang w:val="en-US" w:eastAsia="zh-CN"/>
              </w:rPr>
              <w:t>a</w:t>
            </w:r>
            <w:r>
              <w:rPr>
                <w:rFonts w:hint="default" w:ascii="Times New Roman" w:hAnsi="Times New Roman" w:cs="Times New Roman"/>
                <w:sz w:val="24"/>
                <w:szCs w:val="22"/>
                <w:vertAlign w:val="baseline"/>
                <w:lang w:val="en-US" w:eastAsia="zh-CN"/>
              </w:rPr>
              <w:t>，1</w:t>
            </w:r>
            <w:r>
              <w:rPr>
                <w:rFonts w:hint="default" w:ascii="Times New Roman" w:hAnsi="Times New Roman" w:cs="Times New Roman"/>
                <w:sz w:val="24"/>
                <w:szCs w:val="22"/>
                <w:vertAlign w:val="superscript"/>
                <w:lang w:val="en-US" w:eastAsia="zh-CN"/>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92" w:type="dxa"/>
            <w:gridSpan w:val="5"/>
            <w:noWrap w:val="0"/>
            <w:vAlign w:val="center"/>
          </w:tcPr>
          <w:p>
            <w:pPr>
              <w:bidi w:val="0"/>
              <w:jc w:val="left"/>
              <w:rPr>
                <w:rFonts w:hint="default"/>
                <w:lang w:val="en-US" w:eastAsia="zh-CN"/>
              </w:rPr>
            </w:pPr>
            <w:r>
              <w:rPr>
                <w:rFonts w:hint="eastAsia"/>
                <w:lang w:val="en-US" w:eastAsia="zh-CN"/>
              </w:rPr>
              <w:t>a加工、烹调及去皮蔬菜</w:t>
            </w:r>
          </w:p>
          <w:p>
            <w:pPr>
              <w:bidi w:val="0"/>
              <w:jc w:val="left"/>
              <w:rPr>
                <w:rFonts w:hint="default"/>
                <w:lang w:val="en-US" w:eastAsia="zh-CN"/>
              </w:rPr>
            </w:pPr>
            <w:r>
              <w:rPr>
                <w:rFonts w:hint="eastAsia"/>
                <w:lang w:val="en-US" w:eastAsia="zh-CN"/>
              </w:rPr>
              <w:t>b生食类蔬菜、瓜类和草本水果</w:t>
            </w:r>
          </w:p>
          <w:p>
            <w:pPr>
              <w:bidi w:val="0"/>
              <w:jc w:val="left"/>
              <w:rPr>
                <w:rFonts w:hint="default"/>
                <w:lang w:val="en-US" w:eastAsia="zh-CN"/>
              </w:rPr>
            </w:pPr>
            <w:r>
              <w:rPr>
                <w:rFonts w:hint="eastAsia"/>
                <w:lang w:val="en-US" w:eastAsia="zh-CN"/>
              </w:rPr>
              <w:t>c具有一定的水利排水设施，能够保证一定的排水和地下水径流条件的地区，或有一定淡水资源能满足冲洗土体种盐分的地区，农田灌溉水质全盐量指标可以适当放宽。</w:t>
            </w:r>
          </w:p>
        </w:tc>
      </w:tr>
      <w:bookmarkEnd w:id="184"/>
      <w:bookmarkEnd w:id="185"/>
      <w:bookmarkEnd w:id="186"/>
      <w:bookmarkEnd w:id="187"/>
      <w:bookmarkEnd w:id="188"/>
    </w:tbl>
    <w:p>
      <w:pPr>
        <w:pStyle w:val="2"/>
        <w:ind w:firstLine="560"/>
      </w:pPr>
    </w:p>
    <w:p>
      <w:pPr>
        <w:pStyle w:val="2"/>
        <w:ind w:firstLine="560"/>
        <w:jc w:val="center"/>
        <w:outlineLvl w:val="0"/>
        <w:rPr>
          <w:rFonts w:hint="eastAsia"/>
        </w:rPr>
      </w:pPr>
      <w:r>
        <w:br w:type="page"/>
      </w:r>
      <w:bookmarkStart w:id="189" w:name="_Toc14596_WPSOffice_Level1"/>
      <w:bookmarkStart w:id="190" w:name="_Toc17892_WPSOffice_Level1"/>
      <w:bookmarkStart w:id="191" w:name="_Toc17825"/>
      <w:bookmarkStart w:id="192" w:name="_Toc2980"/>
      <w:bookmarkStart w:id="193" w:name="_Toc4173"/>
      <w:bookmarkStart w:id="194" w:name="_Toc14681"/>
      <w:bookmarkStart w:id="195" w:name="_Toc1140"/>
      <w:bookmarkStart w:id="196" w:name="_Toc24273"/>
      <w:bookmarkStart w:id="197" w:name="_Toc26572"/>
      <w:r>
        <w:rPr>
          <w:rStyle w:val="58"/>
          <w:rFonts w:hint="eastAsia"/>
        </w:rPr>
        <w:t>第五章 工程</w:t>
      </w:r>
      <w:bookmarkEnd w:id="189"/>
      <w:bookmarkEnd w:id="190"/>
      <w:r>
        <w:rPr>
          <w:rStyle w:val="58"/>
          <w:rFonts w:hint="eastAsia"/>
        </w:rPr>
        <w:t>内容</w:t>
      </w:r>
      <w:bookmarkEnd w:id="191"/>
      <w:bookmarkEnd w:id="192"/>
      <w:bookmarkEnd w:id="193"/>
      <w:bookmarkEnd w:id="194"/>
      <w:bookmarkEnd w:id="195"/>
      <w:bookmarkEnd w:id="196"/>
      <w:bookmarkEnd w:id="197"/>
    </w:p>
    <w:p>
      <w:pPr>
        <w:pStyle w:val="7"/>
        <w:outlineLvl w:val="1"/>
        <w:rPr>
          <w:rFonts w:hint="default" w:eastAsia="宋体"/>
          <w:lang w:val="en-US" w:eastAsia="zh-CN"/>
        </w:rPr>
      </w:pPr>
      <w:bookmarkStart w:id="198" w:name="_Toc7254_WPSOffice_Level2"/>
      <w:bookmarkStart w:id="199" w:name="_Toc25674_WPSOffice_Level2"/>
      <w:bookmarkStart w:id="200" w:name="_Toc3417"/>
      <w:bookmarkStart w:id="201" w:name="_Toc5051"/>
      <w:bookmarkStart w:id="202" w:name="_Toc11582"/>
      <w:r>
        <w:rPr>
          <w:rFonts w:hint="eastAsia"/>
        </w:rPr>
        <w:t>5.1</w:t>
      </w:r>
      <w:bookmarkEnd w:id="198"/>
      <w:bookmarkEnd w:id="199"/>
      <w:r>
        <w:rPr>
          <w:rFonts w:hint="eastAsia"/>
          <w:lang w:val="en-US" w:eastAsia="zh-CN"/>
        </w:rPr>
        <w:t>工程内容</w:t>
      </w:r>
      <w:bookmarkEnd w:id="200"/>
      <w:bookmarkEnd w:id="201"/>
      <w:bookmarkEnd w:id="202"/>
    </w:p>
    <w:p>
      <w:pPr>
        <w:pStyle w:val="2"/>
        <w:numPr>
          <w:ilvl w:val="0"/>
          <w:numId w:val="0"/>
        </w:numPr>
        <w:bidi w:val="0"/>
        <w:ind w:leftChars="200"/>
        <w:rPr>
          <w:rFonts w:hint="eastAsia"/>
          <w:lang w:eastAsia="zh-CN"/>
        </w:rPr>
      </w:pPr>
      <w:bookmarkStart w:id="203" w:name="_Toc586"/>
      <w:r>
        <w:rPr>
          <w:rFonts w:hint="eastAsia"/>
          <w:lang w:eastAsia="zh-CN"/>
        </w:rPr>
        <w:t>（</w:t>
      </w:r>
      <w:r>
        <w:rPr>
          <w:rFonts w:hint="eastAsia"/>
          <w:lang w:val="en-US" w:eastAsia="zh-CN"/>
        </w:rPr>
        <w:t>1</w:t>
      </w:r>
      <w:r>
        <w:rPr>
          <w:rFonts w:hint="eastAsia"/>
          <w:lang w:eastAsia="zh-CN"/>
        </w:rPr>
        <w:t>）</w:t>
      </w:r>
      <w:r>
        <w:rPr>
          <w:rFonts w:hint="eastAsia"/>
          <w:lang w:val="en-US" w:eastAsia="zh-CN"/>
        </w:rPr>
        <w:t>有效管控模式</w:t>
      </w:r>
      <w:r>
        <w:rPr>
          <w:rFonts w:hint="eastAsia"/>
          <w:lang w:eastAsia="zh-CN"/>
        </w:rPr>
        <w:t>。</w:t>
      </w:r>
    </w:p>
    <w:p>
      <w:pPr>
        <w:pStyle w:val="2"/>
        <w:bidi w:val="0"/>
        <w:rPr>
          <w:rFonts w:hint="eastAsia"/>
          <w:lang w:eastAsia="zh-CN"/>
        </w:rPr>
      </w:pPr>
      <w:r>
        <w:rPr>
          <w:rFonts w:hint="eastAsia"/>
          <w:lang w:eastAsia="zh-CN"/>
        </w:rPr>
        <w:t>目前不具备建设分散或集中式污水治理设施条件，60%以上的农户生活污水主要通过庭院绿化、菜园浇灌施肥等方式利用，避免污水直排环境。</w:t>
      </w:r>
    </w:p>
    <w:bookmarkEnd w:id="203"/>
    <w:p>
      <w:pPr>
        <w:pStyle w:val="24"/>
        <w:bidi w:val="0"/>
        <w:rPr>
          <w:rFonts w:hint="default"/>
          <w:lang w:val="en-US" w:eastAsia="zh-CN"/>
        </w:rPr>
      </w:pPr>
      <w:r>
        <w:rPr>
          <w:rFonts w:hint="eastAsia"/>
          <w:lang w:val="en-US" w:eastAsia="zh-CN"/>
        </w:rPr>
        <w:t>表5-1  工程内容建设表</w:t>
      </w:r>
    </w:p>
    <w:tbl>
      <w:tblPr>
        <w:tblStyle w:val="41"/>
        <w:tblW w:w="5000" w:type="pct"/>
        <w:jc w:val="center"/>
        <w:tblLayout w:type="autofit"/>
        <w:tblCellMar>
          <w:top w:w="0" w:type="dxa"/>
          <w:left w:w="0" w:type="dxa"/>
          <w:bottom w:w="0" w:type="dxa"/>
          <w:right w:w="0" w:type="dxa"/>
        </w:tblCellMar>
      </w:tblPr>
      <w:tblGrid>
        <w:gridCol w:w="1955"/>
        <w:gridCol w:w="4080"/>
        <w:gridCol w:w="4265"/>
      </w:tblGrid>
      <w:tr>
        <w:tblPrEx>
          <w:tblCellMar>
            <w:top w:w="0" w:type="dxa"/>
            <w:left w:w="0" w:type="dxa"/>
            <w:bottom w:w="0" w:type="dxa"/>
            <w:right w:w="0" w:type="dxa"/>
          </w:tblCellMar>
        </w:tblPrEx>
        <w:trPr>
          <w:trHeight w:val="454" w:hRule="atLeast"/>
          <w:jc w:val="center"/>
        </w:trPr>
        <w:tc>
          <w:tcPr>
            <w:tcW w:w="949" w:type="pct"/>
            <w:vMerge w:val="restart"/>
            <w:tcBorders>
              <w:top w:val="single" w:color="000000" w:sz="8" w:space="0"/>
              <w:left w:val="single" w:color="000000" w:sz="4" w:space="0"/>
              <w:right w:val="single" w:color="000000" w:sz="4" w:space="0"/>
            </w:tcBorders>
            <w:noWrap w:val="0"/>
            <w:tcMar>
              <w:top w:w="12" w:type="dxa"/>
              <w:left w:w="12" w:type="dxa"/>
              <w:right w:w="12" w:type="dxa"/>
            </w:tcMar>
            <w:vAlign w:val="center"/>
          </w:tcPr>
          <w:p>
            <w:pPr>
              <w:pStyle w:val="25"/>
              <w:bidi w:val="0"/>
              <w:rPr>
                <w:rFonts w:hint="eastAsia"/>
              </w:rPr>
            </w:pPr>
            <w:r>
              <w:rPr>
                <w:rFonts w:hint="eastAsia"/>
              </w:rPr>
              <w:t>规划方案</w:t>
            </w:r>
          </w:p>
        </w:tc>
        <w:tc>
          <w:tcPr>
            <w:tcW w:w="4050" w:type="pct"/>
            <w:gridSpan w:val="2"/>
            <w:tcBorders>
              <w:top w:val="single" w:color="000000" w:sz="8" w:space="0"/>
              <w:left w:val="single" w:color="000000" w:sz="4" w:space="0"/>
              <w:bottom w:val="single" w:color="000000" w:sz="4" w:space="0"/>
              <w:right w:val="single" w:color="000000" w:sz="8" w:space="0"/>
            </w:tcBorders>
            <w:noWrap w:val="0"/>
            <w:tcMar>
              <w:top w:w="12" w:type="dxa"/>
              <w:left w:w="12" w:type="dxa"/>
              <w:right w:w="12" w:type="dxa"/>
            </w:tcMar>
            <w:vAlign w:val="center"/>
          </w:tcPr>
          <w:p>
            <w:pPr>
              <w:pStyle w:val="25"/>
              <w:bidi w:val="0"/>
            </w:pPr>
            <w:r>
              <w:rPr>
                <w:rFonts w:hint="eastAsia"/>
              </w:rPr>
              <w:t>工程内容</w:t>
            </w:r>
          </w:p>
        </w:tc>
      </w:tr>
      <w:tr>
        <w:tblPrEx>
          <w:tblCellMar>
            <w:top w:w="0" w:type="dxa"/>
            <w:left w:w="0" w:type="dxa"/>
            <w:bottom w:w="0" w:type="dxa"/>
            <w:right w:w="0" w:type="dxa"/>
          </w:tblCellMar>
        </w:tblPrEx>
        <w:trPr>
          <w:trHeight w:val="454" w:hRule="atLeast"/>
          <w:jc w:val="center"/>
        </w:trPr>
        <w:tc>
          <w:tcPr>
            <w:tcW w:w="949" w:type="pct"/>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pPr>
              <w:pStyle w:val="25"/>
              <w:bidi w:val="0"/>
              <w:rPr>
                <w:rFonts w:hint="eastAsia"/>
              </w:rPr>
            </w:pPr>
          </w:p>
        </w:tc>
        <w:tc>
          <w:tcPr>
            <w:tcW w:w="1980" w:type="pct"/>
            <w:tcBorders>
              <w:top w:val="single" w:color="000000" w:sz="8" w:space="0"/>
              <w:left w:val="single" w:color="000000" w:sz="4" w:space="0"/>
              <w:bottom w:val="single" w:color="000000" w:sz="4" w:space="0"/>
              <w:right w:val="single" w:color="000000" w:sz="8" w:space="0"/>
            </w:tcBorders>
            <w:noWrap w:val="0"/>
            <w:tcMar>
              <w:top w:w="12" w:type="dxa"/>
              <w:left w:w="12" w:type="dxa"/>
              <w:right w:w="12" w:type="dxa"/>
            </w:tcMar>
            <w:vAlign w:val="center"/>
          </w:tcPr>
          <w:p>
            <w:pPr>
              <w:pStyle w:val="25"/>
              <w:bidi w:val="0"/>
            </w:pPr>
            <w:r>
              <w:rPr>
                <w:rFonts w:hint="eastAsia"/>
              </w:rPr>
              <w:t>收集系统</w:t>
            </w:r>
          </w:p>
        </w:tc>
        <w:tc>
          <w:tcPr>
            <w:tcW w:w="2070" w:type="pct"/>
            <w:tcBorders>
              <w:top w:val="single" w:color="000000" w:sz="8" w:space="0"/>
              <w:left w:val="single" w:color="000000" w:sz="4" w:space="0"/>
              <w:bottom w:val="single" w:color="000000" w:sz="4" w:space="0"/>
              <w:right w:val="single" w:color="000000" w:sz="8" w:space="0"/>
            </w:tcBorders>
            <w:noWrap w:val="0"/>
            <w:tcMar>
              <w:top w:w="12" w:type="dxa"/>
              <w:left w:w="12" w:type="dxa"/>
              <w:right w:w="12" w:type="dxa"/>
            </w:tcMar>
            <w:vAlign w:val="center"/>
          </w:tcPr>
          <w:p>
            <w:pPr>
              <w:pStyle w:val="25"/>
              <w:bidi w:val="0"/>
            </w:pPr>
            <w:r>
              <w:rPr>
                <w:rFonts w:hint="eastAsia"/>
              </w:rPr>
              <w:t>处置系统</w:t>
            </w:r>
          </w:p>
        </w:tc>
      </w:tr>
      <w:tr>
        <w:tblPrEx>
          <w:tblCellMar>
            <w:top w:w="0" w:type="dxa"/>
            <w:left w:w="0" w:type="dxa"/>
            <w:bottom w:w="0" w:type="dxa"/>
            <w:right w:w="0" w:type="dxa"/>
          </w:tblCellMar>
        </w:tblPrEx>
        <w:trPr>
          <w:trHeight w:val="454" w:hRule="atLeast"/>
          <w:jc w:val="center"/>
        </w:trPr>
        <w:tc>
          <w:tcPr>
            <w:tcW w:w="949"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pStyle w:val="25"/>
              <w:bidi w:val="0"/>
              <w:rPr>
                <w:rFonts w:hint="default"/>
                <w:lang w:val="en-US" w:eastAsia="zh-CN"/>
              </w:rPr>
            </w:pPr>
            <w:r>
              <w:rPr>
                <w:rFonts w:hint="eastAsia"/>
                <w:lang w:val="en-US" w:eastAsia="zh-CN"/>
              </w:rPr>
              <w:t>有效管控模式</w:t>
            </w:r>
          </w:p>
        </w:tc>
        <w:tc>
          <w:tcPr>
            <w:tcW w:w="1980" w:type="pct"/>
            <w:tcBorders>
              <w:top w:val="single" w:color="000000" w:sz="4" w:space="0"/>
              <w:left w:val="single" w:color="000000" w:sz="4" w:space="0"/>
              <w:bottom w:val="single" w:color="000000" w:sz="4" w:space="0"/>
              <w:right w:val="single" w:color="000000" w:sz="8" w:space="0"/>
            </w:tcBorders>
            <w:noWrap w:val="0"/>
            <w:tcMar>
              <w:top w:w="12" w:type="dxa"/>
              <w:left w:w="12" w:type="dxa"/>
              <w:right w:w="12" w:type="dxa"/>
            </w:tcMar>
            <w:vAlign w:val="center"/>
          </w:tcPr>
          <w:p>
            <w:pPr>
              <w:pStyle w:val="25"/>
              <w:bidi w:val="0"/>
              <w:rPr>
                <w:rFonts w:hint="default"/>
                <w:lang w:val="en-US" w:eastAsia="zh-CN"/>
              </w:rPr>
            </w:pPr>
            <w:r>
              <w:rPr>
                <w:rFonts w:hint="eastAsia"/>
                <w:lang w:val="en-US" w:eastAsia="zh-CN"/>
              </w:rPr>
              <w:t>/</w:t>
            </w:r>
          </w:p>
        </w:tc>
        <w:tc>
          <w:tcPr>
            <w:tcW w:w="2070" w:type="pct"/>
            <w:tcBorders>
              <w:top w:val="single" w:color="000000" w:sz="4" w:space="0"/>
              <w:left w:val="single" w:color="000000" w:sz="4" w:space="0"/>
              <w:bottom w:val="single" w:color="000000" w:sz="4" w:space="0"/>
              <w:right w:val="single" w:color="000000" w:sz="8" w:space="0"/>
            </w:tcBorders>
            <w:noWrap w:val="0"/>
            <w:tcMar>
              <w:top w:w="12" w:type="dxa"/>
              <w:left w:w="12" w:type="dxa"/>
              <w:right w:w="12" w:type="dxa"/>
            </w:tcMar>
            <w:vAlign w:val="center"/>
          </w:tcPr>
          <w:p>
            <w:pPr>
              <w:pStyle w:val="25"/>
              <w:bidi w:val="0"/>
              <w:rPr>
                <w:rFonts w:hint="eastAsia" w:eastAsia="宋体"/>
                <w:lang w:val="en-US" w:eastAsia="zh-CN"/>
              </w:rPr>
            </w:pPr>
            <w:r>
              <w:rPr>
                <w:rFonts w:hint="eastAsia"/>
                <w:lang w:val="en-US" w:eastAsia="zh-CN"/>
              </w:rPr>
              <w:t>/</w:t>
            </w:r>
          </w:p>
        </w:tc>
      </w:tr>
    </w:tbl>
    <w:p>
      <w:pPr>
        <w:pStyle w:val="7"/>
        <w:outlineLvl w:val="1"/>
        <w:rPr>
          <w:rFonts w:hint="eastAsia" w:eastAsia="宋体"/>
          <w:lang w:eastAsia="zh-CN"/>
        </w:rPr>
      </w:pPr>
      <w:bookmarkStart w:id="204" w:name="_Toc1582"/>
      <w:bookmarkStart w:id="205" w:name="_Toc30412"/>
      <w:bookmarkStart w:id="206" w:name="_Toc19851"/>
      <w:r>
        <w:rPr>
          <w:rFonts w:hint="eastAsia"/>
        </w:rPr>
        <w:t>5</w:t>
      </w:r>
      <w:r>
        <w:t>.</w:t>
      </w:r>
      <w:r>
        <w:rPr>
          <w:rFonts w:hint="eastAsia"/>
          <w:lang w:val="en-US" w:eastAsia="zh-CN"/>
        </w:rPr>
        <w:t>2</w:t>
      </w:r>
      <w:r>
        <w:rPr>
          <w:rFonts w:hint="eastAsia"/>
        </w:rPr>
        <w:t>工程</w:t>
      </w:r>
      <w:r>
        <w:rPr>
          <w:rFonts w:hint="eastAsia"/>
          <w:lang w:val="en-US" w:eastAsia="zh-CN"/>
        </w:rPr>
        <w:t>量</w:t>
      </w:r>
      <w:bookmarkEnd w:id="204"/>
      <w:bookmarkEnd w:id="205"/>
      <w:bookmarkEnd w:id="206"/>
    </w:p>
    <w:p>
      <w:pPr>
        <w:pStyle w:val="2"/>
        <w:bidi w:val="0"/>
        <w:rPr>
          <w:rFonts w:hint="eastAsia"/>
          <w:lang w:val="en-US" w:eastAsia="zh-CN"/>
        </w:rPr>
      </w:pPr>
      <w:r>
        <w:rPr>
          <w:rFonts w:hint="eastAsia"/>
          <w:lang w:val="en-US" w:eastAsia="zh-CN"/>
        </w:rPr>
        <w:t>本次规划具体工程量见表5-2。</w:t>
      </w:r>
    </w:p>
    <w:p>
      <w:pPr>
        <w:pStyle w:val="24"/>
        <w:bidi w:val="0"/>
        <w:rPr>
          <w:rFonts w:hint="default"/>
          <w:lang w:val="en-US" w:eastAsia="zh-CN"/>
        </w:rPr>
      </w:pPr>
      <w:r>
        <w:rPr>
          <w:rFonts w:hint="eastAsia"/>
          <w:lang w:val="en-US" w:eastAsia="zh-CN"/>
        </w:rPr>
        <w:t>表5-2  工程量统计表</w:t>
      </w:r>
    </w:p>
    <w:tbl>
      <w:tblPr>
        <w:tblStyle w:val="41"/>
        <w:tblW w:w="10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51"/>
        <w:gridCol w:w="941"/>
        <w:gridCol w:w="3630"/>
        <w:gridCol w:w="3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jc w:val="center"/>
        </w:trPr>
        <w:tc>
          <w:tcPr>
            <w:tcW w:w="2251" w:type="dxa"/>
            <w:vMerge w:val="restart"/>
            <w:noWrap/>
            <w:tcMar>
              <w:top w:w="15" w:type="dxa"/>
              <w:left w:w="15" w:type="dxa"/>
              <w:right w:w="15" w:type="dxa"/>
            </w:tcMar>
            <w:vAlign w:val="center"/>
          </w:tcPr>
          <w:p>
            <w:pPr>
              <w:pStyle w:val="25"/>
              <w:bidi w:val="0"/>
            </w:pPr>
            <w:r>
              <w:rPr>
                <w:rFonts w:hint="eastAsia"/>
                <w:lang w:val="en-US" w:eastAsia="zh-CN"/>
              </w:rPr>
              <w:t>行政村</w:t>
            </w:r>
          </w:p>
        </w:tc>
        <w:tc>
          <w:tcPr>
            <w:tcW w:w="941" w:type="dxa"/>
            <w:vMerge w:val="restart"/>
            <w:noWrap/>
            <w:tcMar>
              <w:top w:w="15" w:type="dxa"/>
              <w:left w:w="15" w:type="dxa"/>
              <w:right w:w="15" w:type="dxa"/>
            </w:tcMar>
            <w:vAlign w:val="center"/>
          </w:tcPr>
          <w:p>
            <w:pPr>
              <w:pStyle w:val="25"/>
              <w:bidi w:val="0"/>
              <w:rPr>
                <w:rFonts w:hint="eastAsia"/>
              </w:rPr>
            </w:pPr>
            <w:r>
              <w:rPr>
                <w:rFonts w:hint="eastAsia"/>
                <w:lang w:val="en-US" w:eastAsia="zh-CN"/>
              </w:rPr>
              <w:t>自然屯</w:t>
            </w:r>
          </w:p>
        </w:tc>
        <w:tc>
          <w:tcPr>
            <w:tcW w:w="7114" w:type="dxa"/>
            <w:gridSpan w:val="2"/>
            <w:noWrap/>
            <w:tcMar>
              <w:top w:w="15" w:type="dxa"/>
              <w:left w:w="15" w:type="dxa"/>
              <w:right w:w="15" w:type="dxa"/>
            </w:tcMar>
            <w:vAlign w:val="center"/>
          </w:tcPr>
          <w:p>
            <w:pPr>
              <w:pStyle w:val="25"/>
              <w:bidi w:val="0"/>
              <w:rPr>
                <w:rFonts w:hint="eastAsia"/>
                <w:lang w:val="en-US" w:eastAsia="zh-CN"/>
              </w:rPr>
            </w:pPr>
            <w:r>
              <w:rPr>
                <w:rFonts w:hint="eastAsia"/>
                <w:lang w:val="en-US" w:eastAsia="zh-CN"/>
              </w:rPr>
              <w:t>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2251" w:type="dxa"/>
            <w:vMerge w:val="continue"/>
            <w:noWrap/>
            <w:tcMar>
              <w:top w:w="15" w:type="dxa"/>
              <w:left w:w="15" w:type="dxa"/>
              <w:right w:w="15" w:type="dxa"/>
            </w:tcMar>
            <w:vAlign w:val="center"/>
          </w:tcPr>
          <w:p>
            <w:pPr>
              <w:pStyle w:val="25"/>
              <w:bidi w:val="0"/>
              <w:rPr>
                <w:rFonts w:hint="eastAsia"/>
              </w:rPr>
            </w:pPr>
          </w:p>
        </w:tc>
        <w:tc>
          <w:tcPr>
            <w:tcW w:w="941" w:type="dxa"/>
            <w:vMerge w:val="continue"/>
            <w:noWrap/>
            <w:tcMar>
              <w:top w:w="15" w:type="dxa"/>
              <w:left w:w="15" w:type="dxa"/>
              <w:right w:w="15" w:type="dxa"/>
            </w:tcMar>
            <w:vAlign w:val="center"/>
          </w:tcPr>
          <w:p>
            <w:pPr>
              <w:pStyle w:val="25"/>
              <w:bidi w:val="0"/>
              <w:rPr>
                <w:rFonts w:hint="eastAsia"/>
              </w:rPr>
            </w:pPr>
          </w:p>
        </w:tc>
        <w:tc>
          <w:tcPr>
            <w:tcW w:w="3630" w:type="dxa"/>
            <w:noWrap/>
            <w:tcMar>
              <w:top w:w="15" w:type="dxa"/>
              <w:left w:w="15" w:type="dxa"/>
              <w:right w:w="15" w:type="dxa"/>
            </w:tcMar>
            <w:vAlign w:val="center"/>
          </w:tcPr>
          <w:p>
            <w:pPr>
              <w:pStyle w:val="25"/>
              <w:bidi w:val="0"/>
              <w:rPr>
                <w:rFonts w:hint="eastAsia"/>
                <w:lang w:val="en-US" w:eastAsia="zh-CN"/>
              </w:rPr>
            </w:pPr>
            <w:r>
              <w:rPr>
                <w:rFonts w:hint="eastAsia"/>
                <w:lang w:val="en-US" w:eastAsia="zh-CN"/>
              </w:rPr>
              <w:t>收集系统</w:t>
            </w:r>
          </w:p>
        </w:tc>
        <w:tc>
          <w:tcPr>
            <w:tcW w:w="3484" w:type="dxa"/>
            <w:noWrap/>
            <w:tcMar>
              <w:top w:w="15" w:type="dxa"/>
              <w:left w:w="15" w:type="dxa"/>
              <w:right w:w="15" w:type="dxa"/>
            </w:tcMar>
            <w:vAlign w:val="center"/>
          </w:tcPr>
          <w:p>
            <w:pPr>
              <w:pStyle w:val="25"/>
              <w:bidi w:val="0"/>
              <w:rPr>
                <w:rFonts w:hint="eastAsia"/>
              </w:rPr>
            </w:pPr>
            <w:r>
              <w:rPr>
                <w:rFonts w:hint="eastAsia"/>
              </w:rPr>
              <w:t>处置系统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251" w:type="dxa"/>
            <w:vMerge w:val="continue"/>
            <w:noWrap/>
            <w:tcMar>
              <w:top w:w="15" w:type="dxa"/>
              <w:left w:w="15" w:type="dxa"/>
              <w:right w:w="15" w:type="dxa"/>
            </w:tcMar>
            <w:vAlign w:val="center"/>
          </w:tcPr>
          <w:p>
            <w:pPr>
              <w:pStyle w:val="25"/>
              <w:bidi w:val="0"/>
              <w:rPr>
                <w:rFonts w:hint="eastAsia"/>
              </w:rPr>
            </w:pPr>
          </w:p>
        </w:tc>
        <w:tc>
          <w:tcPr>
            <w:tcW w:w="941" w:type="dxa"/>
            <w:vMerge w:val="continue"/>
            <w:noWrap w:val="0"/>
            <w:vAlign w:val="center"/>
          </w:tcPr>
          <w:p>
            <w:pPr>
              <w:pStyle w:val="25"/>
              <w:bidi w:val="0"/>
              <w:rPr>
                <w:rFonts w:hint="eastAsia"/>
              </w:rPr>
            </w:pPr>
          </w:p>
        </w:tc>
        <w:tc>
          <w:tcPr>
            <w:tcW w:w="3630" w:type="dxa"/>
            <w:noWrap w:val="0"/>
            <w:vAlign w:val="center"/>
          </w:tcPr>
          <w:p>
            <w:pPr>
              <w:pStyle w:val="25"/>
              <w:bidi w:val="0"/>
              <w:rPr>
                <w:rFonts w:hint="default"/>
                <w:lang w:val="en-US" w:eastAsia="zh-CN"/>
              </w:rPr>
            </w:pPr>
            <w:r>
              <w:rPr>
                <w:rFonts w:hint="eastAsia"/>
                <w:lang w:val="en-US" w:eastAsia="zh-CN"/>
              </w:rPr>
              <w:t>管线（km）</w:t>
            </w:r>
          </w:p>
        </w:tc>
        <w:tc>
          <w:tcPr>
            <w:tcW w:w="3484" w:type="dxa"/>
            <w:noWrap/>
            <w:tcMar>
              <w:top w:w="15" w:type="dxa"/>
              <w:left w:w="15" w:type="dxa"/>
              <w:right w:w="15" w:type="dxa"/>
            </w:tcMar>
            <w:vAlign w:val="center"/>
          </w:tcPr>
          <w:p>
            <w:pPr>
              <w:pStyle w:val="25"/>
              <w:bidi w:val="0"/>
              <w:rPr>
                <w:rFonts w:hint="eastAsia"/>
              </w:rPr>
            </w:pPr>
            <w:r>
              <w:rPr>
                <w:rFonts w:hint="eastAsia"/>
                <w:lang w:val="en-US" w:eastAsia="zh-CN"/>
              </w:rPr>
              <w:t>2格集中化粪池（m</w:t>
            </w:r>
            <w:r>
              <w:rPr>
                <w:rFonts w:hint="eastAsia"/>
                <w:vertAlign w:val="superscript"/>
                <w:lang w:val="en-US" w:eastAsia="zh-CN"/>
              </w:rPr>
              <w:t>3</w:t>
            </w: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9" w:hRule="atLeast"/>
          <w:jc w:val="center"/>
        </w:trPr>
        <w:tc>
          <w:tcPr>
            <w:tcW w:w="2251" w:type="dxa"/>
            <w:noWrap/>
            <w:tcMar>
              <w:top w:w="15" w:type="dxa"/>
              <w:left w:w="15" w:type="dxa"/>
              <w:right w:w="15" w:type="dxa"/>
            </w:tcMar>
            <w:vAlign w:val="center"/>
          </w:tcPr>
          <w:p>
            <w:pPr>
              <w:pStyle w:val="25"/>
              <w:bidi w:val="0"/>
            </w:pPr>
            <w:r>
              <w:rPr>
                <w:rFonts w:hint="eastAsia"/>
                <w:lang w:val="en-US" w:eastAsia="zh-CN"/>
              </w:rPr>
              <w:t>青山村</w:t>
            </w:r>
          </w:p>
        </w:tc>
        <w:tc>
          <w:tcPr>
            <w:tcW w:w="941" w:type="dxa"/>
            <w:noWrap w:val="0"/>
            <w:vAlign w:val="center"/>
          </w:tcPr>
          <w:p>
            <w:pPr>
              <w:pStyle w:val="25"/>
              <w:bidi w:val="0"/>
              <w:rPr>
                <w:rFonts w:hint="eastAsia"/>
                <w:lang w:val="en-US" w:eastAsia="zh-CN"/>
              </w:rPr>
            </w:pPr>
            <w:r>
              <w:rPr>
                <w:rFonts w:hint="eastAsia"/>
                <w:lang w:val="en-US" w:eastAsia="zh-CN"/>
              </w:rPr>
              <w:t>1队</w:t>
            </w:r>
          </w:p>
        </w:tc>
        <w:tc>
          <w:tcPr>
            <w:tcW w:w="3630" w:type="dxa"/>
            <w:noWrap w:val="0"/>
            <w:vAlign w:val="center"/>
          </w:tcPr>
          <w:p>
            <w:pPr>
              <w:bidi w:val="0"/>
              <w:jc w:val="center"/>
              <w:rPr>
                <w:rFonts w:hint="default"/>
                <w:sz w:val="24"/>
                <w:szCs w:val="24"/>
                <w:lang w:val="en-US" w:eastAsia="zh-CN"/>
              </w:rPr>
            </w:pPr>
            <w:r>
              <w:rPr>
                <w:rFonts w:hint="eastAsia"/>
                <w:sz w:val="24"/>
                <w:szCs w:val="24"/>
                <w:lang w:val="en-US" w:eastAsia="zh-CN"/>
              </w:rPr>
              <w:t>-</w:t>
            </w:r>
          </w:p>
        </w:tc>
        <w:tc>
          <w:tcPr>
            <w:tcW w:w="3484" w:type="dxa"/>
            <w:noWrap/>
            <w:tcMar>
              <w:top w:w="15" w:type="dxa"/>
              <w:left w:w="15" w:type="dxa"/>
              <w:right w:w="15" w:type="dxa"/>
            </w:tcMar>
            <w:vAlign w:val="center"/>
          </w:tcPr>
          <w:p>
            <w:pPr>
              <w:pStyle w:val="25"/>
              <w:bidi w:val="0"/>
              <w:rPr>
                <w:rFonts w:hint="default"/>
                <w:sz w:val="24"/>
                <w:szCs w:val="24"/>
                <w:lang w:val="en-US" w:eastAsia="zh-CN"/>
              </w:rPr>
            </w:pPr>
            <w:r>
              <w:rPr>
                <w:rFonts w:hint="eastAsia"/>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6" w:hRule="atLeast"/>
          <w:jc w:val="center"/>
        </w:trPr>
        <w:tc>
          <w:tcPr>
            <w:tcW w:w="2251" w:type="dxa"/>
            <w:noWrap/>
            <w:tcMar>
              <w:top w:w="15" w:type="dxa"/>
              <w:left w:w="15" w:type="dxa"/>
              <w:right w:w="15" w:type="dxa"/>
            </w:tcMar>
            <w:vAlign w:val="center"/>
          </w:tcPr>
          <w:p>
            <w:pPr>
              <w:pStyle w:val="25"/>
              <w:bidi w:val="0"/>
            </w:pPr>
            <w:r>
              <w:rPr>
                <w:rFonts w:hint="eastAsia"/>
                <w:lang w:val="en-US" w:eastAsia="zh-CN"/>
              </w:rPr>
              <w:t>青山村</w:t>
            </w:r>
          </w:p>
        </w:tc>
        <w:tc>
          <w:tcPr>
            <w:tcW w:w="941" w:type="dxa"/>
            <w:noWrap w:val="0"/>
            <w:vAlign w:val="center"/>
          </w:tcPr>
          <w:p>
            <w:pPr>
              <w:pStyle w:val="25"/>
              <w:bidi w:val="0"/>
              <w:rPr>
                <w:rFonts w:hint="eastAsia"/>
                <w:lang w:val="en-US" w:eastAsia="zh-CN"/>
              </w:rPr>
            </w:pPr>
            <w:r>
              <w:rPr>
                <w:rFonts w:hint="eastAsia"/>
                <w:lang w:val="en-US" w:eastAsia="zh-CN"/>
              </w:rPr>
              <w:t>2队</w:t>
            </w:r>
          </w:p>
        </w:tc>
        <w:tc>
          <w:tcPr>
            <w:tcW w:w="3630" w:type="dxa"/>
            <w:noWrap w:val="0"/>
            <w:vAlign w:val="center"/>
          </w:tcPr>
          <w:p>
            <w:pPr>
              <w:bidi w:val="0"/>
              <w:jc w:val="center"/>
              <w:rPr>
                <w:rFonts w:hint="default"/>
                <w:sz w:val="24"/>
                <w:szCs w:val="24"/>
                <w:lang w:val="en-US" w:eastAsia="zh-CN"/>
              </w:rPr>
            </w:pPr>
            <w:r>
              <w:rPr>
                <w:rFonts w:hint="eastAsia"/>
                <w:sz w:val="24"/>
                <w:szCs w:val="24"/>
                <w:lang w:val="en-US" w:eastAsia="zh-CN"/>
              </w:rPr>
              <w:t>-</w:t>
            </w:r>
          </w:p>
        </w:tc>
        <w:tc>
          <w:tcPr>
            <w:tcW w:w="3484" w:type="dxa"/>
            <w:noWrap/>
            <w:tcMar>
              <w:top w:w="15" w:type="dxa"/>
              <w:left w:w="15" w:type="dxa"/>
              <w:right w:w="15" w:type="dxa"/>
            </w:tcMar>
            <w:vAlign w:val="center"/>
          </w:tcPr>
          <w:p>
            <w:pPr>
              <w:pStyle w:val="25"/>
              <w:bidi w:val="0"/>
              <w:rPr>
                <w:rFonts w:hint="eastAsia"/>
                <w:sz w:val="24"/>
                <w:szCs w:val="24"/>
                <w:lang w:val="en-US" w:eastAsia="zh-CN"/>
              </w:rPr>
            </w:pPr>
            <w:r>
              <w:rPr>
                <w:rFonts w:hint="eastAsia"/>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2251" w:type="dxa"/>
            <w:noWrap/>
            <w:tcMar>
              <w:top w:w="15" w:type="dxa"/>
              <w:left w:w="15" w:type="dxa"/>
              <w:right w:w="15" w:type="dxa"/>
            </w:tcMar>
            <w:vAlign w:val="center"/>
          </w:tcPr>
          <w:p>
            <w:pPr>
              <w:pStyle w:val="25"/>
              <w:bidi w:val="0"/>
            </w:pPr>
            <w:r>
              <w:rPr>
                <w:rFonts w:hint="eastAsia"/>
                <w:lang w:val="en-US" w:eastAsia="zh-CN"/>
              </w:rPr>
              <w:t>青山村</w:t>
            </w:r>
          </w:p>
        </w:tc>
        <w:tc>
          <w:tcPr>
            <w:tcW w:w="941" w:type="dxa"/>
            <w:noWrap w:val="0"/>
            <w:vAlign w:val="center"/>
          </w:tcPr>
          <w:p>
            <w:pPr>
              <w:pStyle w:val="25"/>
              <w:bidi w:val="0"/>
              <w:rPr>
                <w:rFonts w:hint="eastAsia"/>
                <w:lang w:val="en-US" w:eastAsia="zh-CN"/>
              </w:rPr>
            </w:pPr>
            <w:r>
              <w:rPr>
                <w:rFonts w:hint="eastAsia"/>
                <w:lang w:val="en-US" w:eastAsia="zh-CN"/>
              </w:rPr>
              <w:t>3队</w:t>
            </w:r>
          </w:p>
        </w:tc>
        <w:tc>
          <w:tcPr>
            <w:tcW w:w="3630" w:type="dxa"/>
            <w:noWrap w:val="0"/>
            <w:vAlign w:val="center"/>
          </w:tcPr>
          <w:p>
            <w:pPr>
              <w:bidi w:val="0"/>
              <w:jc w:val="center"/>
              <w:rPr>
                <w:rFonts w:hint="default"/>
                <w:sz w:val="24"/>
                <w:szCs w:val="24"/>
                <w:lang w:val="en-US" w:eastAsia="zh-CN"/>
              </w:rPr>
            </w:pPr>
            <w:r>
              <w:rPr>
                <w:rFonts w:hint="eastAsia"/>
                <w:sz w:val="24"/>
                <w:szCs w:val="24"/>
                <w:lang w:val="en-US" w:eastAsia="zh-CN"/>
              </w:rPr>
              <w:t>-</w:t>
            </w:r>
          </w:p>
        </w:tc>
        <w:tc>
          <w:tcPr>
            <w:tcW w:w="3484" w:type="dxa"/>
            <w:noWrap/>
            <w:tcMar>
              <w:top w:w="15" w:type="dxa"/>
              <w:left w:w="15" w:type="dxa"/>
              <w:right w:w="15" w:type="dxa"/>
            </w:tcMar>
            <w:vAlign w:val="center"/>
          </w:tcPr>
          <w:p>
            <w:pPr>
              <w:pStyle w:val="25"/>
              <w:bidi w:val="0"/>
              <w:rPr>
                <w:rFonts w:hint="default"/>
                <w:sz w:val="24"/>
                <w:szCs w:val="24"/>
                <w:lang w:val="en-US" w:eastAsia="zh-CN"/>
              </w:rPr>
            </w:pPr>
            <w:r>
              <w:rPr>
                <w:rFonts w:hint="eastAsia"/>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2251" w:type="dxa"/>
            <w:noWrap/>
            <w:tcMar>
              <w:top w:w="15" w:type="dxa"/>
              <w:left w:w="15" w:type="dxa"/>
              <w:right w:w="15" w:type="dxa"/>
            </w:tcMar>
            <w:vAlign w:val="center"/>
          </w:tcPr>
          <w:p>
            <w:pPr>
              <w:pStyle w:val="25"/>
              <w:bidi w:val="0"/>
            </w:pPr>
            <w:r>
              <w:rPr>
                <w:rFonts w:hint="eastAsia"/>
                <w:lang w:val="en-US" w:eastAsia="zh-CN"/>
              </w:rPr>
              <w:t>爱国村</w:t>
            </w:r>
          </w:p>
        </w:tc>
        <w:tc>
          <w:tcPr>
            <w:tcW w:w="941" w:type="dxa"/>
            <w:noWrap w:val="0"/>
            <w:vAlign w:val="center"/>
          </w:tcPr>
          <w:p>
            <w:pPr>
              <w:pStyle w:val="25"/>
              <w:bidi w:val="0"/>
              <w:rPr>
                <w:rFonts w:hint="eastAsia"/>
                <w:lang w:val="en-US" w:eastAsia="zh-CN"/>
              </w:rPr>
            </w:pPr>
            <w:r>
              <w:rPr>
                <w:rFonts w:hint="eastAsia"/>
                <w:lang w:val="en-US" w:eastAsia="zh-CN"/>
              </w:rPr>
              <w:t>1队</w:t>
            </w:r>
          </w:p>
        </w:tc>
        <w:tc>
          <w:tcPr>
            <w:tcW w:w="3630" w:type="dxa"/>
            <w:noWrap w:val="0"/>
            <w:vAlign w:val="center"/>
          </w:tcPr>
          <w:p>
            <w:pPr>
              <w:bidi w:val="0"/>
              <w:jc w:val="center"/>
              <w:rPr>
                <w:rFonts w:hint="default"/>
                <w:sz w:val="24"/>
                <w:szCs w:val="24"/>
                <w:lang w:val="en-US" w:eastAsia="zh-CN"/>
              </w:rPr>
            </w:pPr>
            <w:r>
              <w:rPr>
                <w:rFonts w:hint="eastAsia"/>
                <w:sz w:val="24"/>
                <w:szCs w:val="24"/>
                <w:lang w:val="en-US" w:eastAsia="zh-CN"/>
              </w:rPr>
              <w:t>-</w:t>
            </w:r>
          </w:p>
        </w:tc>
        <w:tc>
          <w:tcPr>
            <w:tcW w:w="3484" w:type="dxa"/>
            <w:noWrap/>
            <w:tcMar>
              <w:top w:w="15" w:type="dxa"/>
              <w:left w:w="15" w:type="dxa"/>
              <w:right w:w="15" w:type="dxa"/>
            </w:tcMar>
            <w:vAlign w:val="center"/>
          </w:tcPr>
          <w:p>
            <w:pPr>
              <w:bidi w:val="0"/>
              <w:jc w:val="center"/>
              <w:rPr>
                <w:rFonts w:hint="eastAsia"/>
                <w:sz w:val="24"/>
                <w:szCs w:val="24"/>
                <w:lang w:val="en-US" w:eastAsia="zh-CN"/>
              </w:rPr>
            </w:pPr>
            <w:r>
              <w:rPr>
                <w:rFonts w:hint="eastAsia"/>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1" w:hRule="atLeast"/>
          <w:jc w:val="center"/>
        </w:trPr>
        <w:tc>
          <w:tcPr>
            <w:tcW w:w="2251" w:type="dxa"/>
            <w:noWrap/>
            <w:tcMar>
              <w:top w:w="15" w:type="dxa"/>
              <w:left w:w="15" w:type="dxa"/>
              <w:right w:w="15" w:type="dxa"/>
            </w:tcMar>
            <w:vAlign w:val="center"/>
          </w:tcPr>
          <w:p>
            <w:pPr>
              <w:pStyle w:val="25"/>
              <w:bidi w:val="0"/>
            </w:pPr>
            <w:r>
              <w:rPr>
                <w:rFonts w:hint="eastAsia"/>
                <w:lang w:val="en-US" w:eastAsia="zh-CN"/>
              </w:rPr>
              <w:t>爱国村</w:t>
            </w:r>
          </w:p>
        </w:tc>
        <w:tc>
          <w:tcPr>
            <w:tcW w:w="941" w:type="dxa"/>
            <w:noWrap w:val="0"/>
            <w:vAlign w:val="center"/>
          </w:tcPr>
          <w:p>
            <w:pPr>
              <w:pStyle w:val="25"/>
              <w:bidi w:val="0"/>
              <w:rPr>
                <w:rFonts w:hint="eastAsia"/>
                <w:lang w:val="en-US" w:eastAsia="zh-CN"/>
              </w:rPr>
            </w:pPr>
            <w:r>
              <w:rPr>
                <w:rFonts w:hint="eastAsia"/>
                <w:lang w:val="en-US" w:eastAsia="zh-CN"/>
              </w:rPr>
              <w:t>2队</w:t>
            </w:r>
          </w:p>
        </w:tc>
        <w:tc>
          <w:tcPr>
            <w:tcW w:w="3630" w:type="dxa"/>
            <w:noWrap w:val="0"/>
            <w:vAlign w:val="center"/>
          </w:tcPr>
          <w:p>
            <w:pPr>
              <w:bidi w:val="0"/>
              <w:jc w:val="center"/>
              <w:rPr>
                <w:rFonts w:hint="default"/>
                <w:sz w:val="24"/>
                <w:szCs w:val="24"/>
                <w:lang w:val="en-US" w:eastAsia="zh-CN"/>
              </w:rPr>
            </w:pPr>
            <w:r>
              <w:rPr>
                <w:rFonts w:hint="eastAsia"/>
                <w:sz w:val="24"/>
                <w:szCs w:val="24"/>
                <w:lang w:val="en-US" w:eastAsia="zh-CN"/>
              </w:rPr>
              <w:t>-</w:t>
            </w:r>
          </w:p>
        </w:tc>
        <w:tc>
          <w:tcPr>
            <w:tcW w:w="3484" w:type="dxa"/>
            <w:noWrap/>
            <w:tcMar>
              <w:top w:w="15" w:type="dxa"/>
              <w:left w:w="15" w:type="dxa"/>
              <w:right w:w="15" w:type="dxa"/>
            </w:tcMar>
            <w:vAlign w:val="center"/>
          </w:tcPr>
          <w:p>
            <w:pPr>
              <w:bidi w:val="0"/>
              <w:jc w:val="center"/>
              <w:rPr>
                <w:rFonts w:hint="eastAsia"/>
                <w:sz w:val="24"/>
                <w:szCs w:val="24"/>
                <w:lang w:val="en-US" w:eastAsia="zh-CN"/>
              </w:rPr>
            </w:pPr>
            <w:r>
              <w:rPr>
                <w:rFonts w:hint="eastAsia"/>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2251" w:type="dxa"/>
            <w:noWrap/>
            <w:tcMar>
              <w:top w:w="15" w:type="dxa"/>
              <w:left w:w="15" w:type="dxa"/>
              <w:right w:w="15" w:type="dxa"/>
            </w:tcMar>
            <w:vAlign w:val="center"/>
          </w:tcPr>
          <w:p>
            <w:pPr>
              <w:pStyle w:val="25"/>
              <w:bidi w:val="0"/>
            </w:pPr>
            <w:r>
              <w:rPr>
                <w:rFonts w:hint="eastAsia"/>
                <w:lang w:val="en-US" w:eastAsia="zh-CN"/>
              </w:rPr>
              <w:t>曙光村</w:t>
            </w:r>
          </w:p>
        </w:tc>
        <w:tc>
          <w:tcPr>
            <w:tcW w:w="941" w:type="dxa"/>
            <w:noWrap w:val="0"/>
            <w:vAlign w:val="center"/>
          </w:tcPr>
          <w:p>
            <w:pPr>
              <w:pStyle w:val="25"/>
              <w:bidi w:val="0"/>
              <w:rPr>
                <w:rFonts w:hint="eastAsia"/>
                <w:lang w:val="en-US" w:eastAsia="zh-CN"/>
              </w:rPr>
            </w:pPr>
            <w:r>
              <w:rPr>
                <w:rFonts w:hint="eastAsia"/>
                <w:lang w:val="en-US" w:eastAsia="zh-CN"/>
              </w:rPr>
              <w:t>1队</w:t>
            </w:r>
          </w:p>
        </w:tc>
        <w:tc>
          <w:tcPr>
            <w:tcW w:w="3630" w:type="dxa"/>
            <w:noWrap w:val="0"/>
            <w:vAlign w:val="center"/>
          </w:tcPr>
          <w:p>
            <w:pPr>
              <w:pStyle w:val="25"/>
              <w:bidi w:val="0"/>
              <w:rPr>
                <w:rFonts w:hint="default"/>
                <w:sz w:val="24"/>
                <w:szCs w:val="24"/>
                <w:lang w:val="en-US" w:eastAsia="zh-CN"/>
              </w:rPr>
            </w:pPr>
            <w:r>
              <w:rPr>
                <w:rFonts w:hint="eastAsia"/>
                <w:sz w:val="24"/>
                <w:szCs w:val="24"/>
                <w:lang w:val="en-US" w:eastAsia="zh-CN"/>
              </w:rPr>
              <w:t>-</w:t>
            </w:r>
          </w:p>
        </w:tc>
        <w:tc>
          <w:tcPr>
            <w:tcW w:w="3484" w:type="dxa"/>
            <w:noWrap/>
            <w:tcMar>
              <w:top w:w="15" w:type="dxa"/>
              <w:left w:w="15" w:type="dxa"/>
              <w:right w:w="15" w:type="dxa"/>
            </w:tcMar>
            <w:vAlign w:val="center"/>
          </w:tcPr>
          <w:p>
            <w:pPr>
              <w:bidi w:val="0"/>
              <w:jc w:val="center"/>
              <w:rPr>
                <w:rFonts w:hint="default"/>
                <w:sz w:val="24"/>
                <w:szCs w:val="24"/>
                <w:lang w:val="en-US" w:eastAsia="zh-CN"/>
              </w:rPr>
            </w:pPr>
            <w:r>
              <w:rPr>
                <w:rFonts w:hint="eastAsia"/>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2251" w:type="dxa"/>
            <w:noWrap/>
            <w:tcMar>
              <w:top w:w="15" w:type="dxa"/>
              <w:left w:w="15" w:type="dxa"/>
              <w:right w:w="15" w:type="dxa"/>
            </w:tcMar>
            <w:vAlign w:val="center"/>
          </w:tcPr>
          <w:p>
            <w:pPr>
              <w:pStyle w:val="25"/>
              <w:bidi w:val="0"/>
              <w:rPr>
                <w:rFonts w:hint="eastAsia"/>
              </w:rPr>
            </w:pPr>
            <w:r>
              <w:rPr>
                <w:rFonts w:hint="eastAsia"/>
                <w:lang w:val="en-US" w:eastAsia="zh-CN"/>
              </w:rPr>
              <w:t>曙光村</w:t>
            </w:r>
          </w:p>
        </w:tc>
        <w:tc>
          <w:tcPr>
            <w:tcW w:w="941" w:type="dxa"/>
            <w:noWrap w:val="0"/>
            <w:vAlign w:val="center"/>
          </w:tcPr>
          <w:p>
            <w:pPr>
              <w:pStyle w:val="25"/>
              <w:bidi w:val="0"/>
              <w:rPr>
                <w:rFonts w:hint="eastAsia"/>
                <w:lang w:val="en-US" w:eastAsia="zh-CN"/>
              </w:rPr>
            </w:pPr>
            <w:r>
              <w:rPr>
                <w:rFonts w:hint="eastAsia"/>
                <w:lang w:val="en-US" w:eastAsia="zh-CN"/>
              </w:rPr>
              <w:t>2队</w:t>
            </w:r>
          </w:p>
        </w:tc>
        <w:tc>
          <w:tcPr>
            <w:tcW w:w="3630" w:type="dxa"/>
            <w:noWrap w:val="0"/>
            <w:vAlign w:val="center"/>
          </w:tcPr>
          <w:p>
            <w:pPr>
              <w:pStyle w:val="25"/>
              <w:bidi w:val="0"/>
              <w:rPr>
                <w:rFonts w:hint="eastAsia"/>
                <w:sz w:val="24"/>
                <w:szCs w:val="24"/>
                <w:lang w:val="en-US" w:eastAsia="zh-CN"/>
              </w:rPr>
            </w:pPr>
            <w:r>
              <w:rPr>
                <w:rFonts w:hint="eastAsia"/>
                <w:sz w:val="24"/>
                <w:szCs w:val="24"/>
                <w:lang w:val="en-US" w:eastAsia="zh-CN"/>
              </w:rPr>
              <w:t>-</w:t>
            </w:r>
          </w:p>
        </w:tc>
        <w:tc>
          <w:tcPr>
            <w:tcW w:w="3484" w:type="dxa"/>
            <w:noWrap/>
            <w:tcMar>
              <w:top w:w="15" w:type="dxa"/>
              <w:left w:w="15" w:type="dxa"/>
              <w:right w:w="15" w:type="dxa"/>
            </w:tcMar>
            <w:vAlign w:val="center"/>
          </w:tcPr>
          <w:p>
            <w:pPr>
              <w:bidi w:val="0"/>
              <w:jc w:val="center"/>
              <w:rPr>
                <w:rFonts w:hint="eastAsia"/>
                <w:sz w:val="24"/>
                <w:szCs w:val="24"/>
                <w:lang w:val="en-US" w:eastAsia="zh-CN"/>
              </w:rPr>
            </w:pPr>
            <w:r>
              <w:rPr>
                <w:rFonts w:hint="eastAsia"/>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2251" w:type="dxa"/>
            <w:noWrap/>
            <w:tcMar>
              <w:top w:w="15" w:type="dxa"/>
              <w:left w:w="15" w:type="dxa"/>
              <w:right w:w="15" w:type="dxa"/>
            </w:tcMar>
            <w:vAlign w:val="center"/>
          </w:tcPr>
          <w:p>
            <w:pPr>
              <w:pStyle w:val="25"/>
              <w:bidi w:val="0"/>
              <w:rPr>
                <w:rFonts w:hint="eastAsia"/>
              </w:rPr>
            </w:pPr>
            <w:r>
              <w:rPr>
                <w:rFonts w:hint="eastAsia"/>
                <w:lang w:val="en-US" w:eastAsia="zh-CN"/>
              </w:rPr>
              <w:t>曙光村</w:t>
            </w:r>
          </w:p>
        </w:tc>
        <w:tc>
          <w:tcPr>
            <w:tcW w:w="941" w:type="dxa"/>
            <w:noWrap w:val="0"/>
            <w:vAlign w:val="center"/>
          </w:tcPr>
          <w:p>
            <w:pPr>
              <w:pStyle w:val="25"/>
              <w:bidi w:val="0"/>
              <w:rPr>
                <w:rFonts w:hint="eastAsia"/>
                <w:lang w:val="en-US" w:eastAsia="zh-CN"/>
              </w:rPr>
            </w:pPr>
            <w:r>
              <w:rPr>
                <w:rFonts w:hint="eastAsia"/>
                <w:lang w:val="en-US" w:eastAsia="zh-CN"/>
              </w:rPr>
              <w:t>3队</w:t>
            </w:r>
          </w:p>
        </w:tc>
        <w:tc>
          <w:tcPr>
            <w:tcW w:w="3630" w:type="dxa"/>
            <w:noWrap w:val="0"/>
            <w:vAlign w:val="center"/>
          </w:tcPr>
          <w:p>
            <w:pPr>
              <w:pStyle w:val="25"/>
              <w:bidi w:val="0"/>
              <w:rPr>
                <w:rFonts w:hint="default"/>
                <w:sz w:val="24"/>
                <w:szCs w:val="24"/>
                <w:lang w:val="en-US" w:eastAsia="zh-CN"/>
              </w:rPr>
            </w:pPr>
            <w:r>
              <w:rPr>
                <w:rFonts w:hint="eastAsia"/>
                <w:sz w:val="24"/>
                <w:szCs w:val="24"/>
                <w:lang w:val="en-US" w:eastAsia="zh-CN"/>
              </w:rPr>
              <w:t>-</w:t>
            </w:r>
          </w:p>
        </w:tc>
        <w:tc>
          <w:tcPr>
            <w:tcW w:w="3484" w:type="dxa"/>
            <w:noWrap/>
            <w:tcMar>
              <w:top w:w="15" w:type="dxa"/>
              <w:left w:w="15" w:type="dxa"/>
              <w:right w:w="15" w:type="dxa"/>
            </w:tcMar>
            <w:vAlign w:val="center"/>
          </w:tcPr>
          <w:p>
            <w:pPr>
              <w:bidi w:val="0"/>
              <w:jc w:val="center"/>
              <w:rPr>
                <w:rFonts w:hint="eastAsia"/>
                <w:sz w:val="24"/>
                <w:szCs w:val="24"/>
                <w:lang w:val="en-US" w:eastAsia="zh-CN"/>
              </w:rPr>
            </w:pPr>
            <w:r>
              <w:rPr>
                <w:rFonts w:hint="eastAsia"/>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2251" w:type="dxa"/>
            <w:noWrap/>
            <w:tcMar>
              <w:top w:w="15" w:type="dxa"/>
              <w:left w:w="15" w:type="dxa"/>
              <w:right w:w="15" w:type="dxa"/>
            </w:tcMar>
            <w:vAlign w:val="center"/>
          </w:tcPr>
          <w:p>
            <w:pPr>
              <w:pStyle w:val="25"/>
              <w:bidi w:val="0"/>
              <w:rPr>
                <w:rFonts w:hint="eastAsia"/>
              </w:rPr>
            </w:pPr>
            <w:r>
              <w:rPr>
                <w:rFonts w:hint="eastAsia"/>
                <w:lang w:val="en-US" w:eastAsia="zh-CN"/>
              </w:rPr>
              <w:t>曙光村</w:t>
            </w:r>
          </w:p>
        </w:tc>
        <w:tc>
          <w:tcPr>
            <w:tcW w:w="941" w:type="dxa"/>
            <w:noWrap w:val="0"/>
            <w:vAlign w:val="center"/>
          </w:tcPr>
          <w:p>
            <w:pPr>
              <w:pStyle w:val="25"/>
              <w:bidi w:val="0"/>
              <w:rPr>
                <w:rFonts w:hint="eastAsia"/>
                <w:lang w:val="en-US" w:eastAsia="zh-CN"/>
              </w:rPr>
            </w:pPr>
            <w:r>
              <w:rPr>
                <w:rFonts w:hint="eastAsia"/>
                <w:lang w:val="en-US" w:eastAsia="zh-CN"/>
              </w:rPr>
              <w:t>4队</w:t>
            </w:r>
          </w:p>
        </w:tc>
        <w:tc>
          <w:tcPr>
            <w:tcW w:w="3630" w:type="dxa"/>
            <w:noWrap w:val="0"/>
            <w:vAlign w:val="center"/>
          </w:tcPr>
          <w:p>
            <w:pPr>
              <w:pStyle w:val="25"/>
              <w:bidi w:val="0"/>
              <w:rPr>
                <w:rFonts w:hint="default"/>
                <w:sz w:val="24"/>
                <w:szCs w:val="24"/>
                <w:lang w:val="en-US" w:eastAsia="zh-CN"/>
              </w:rPr>
            </w:pPr>
            <w:r>
              <w:rPr>
                <w:rFonts w:hint="eastAsia"/>
                <w:sz w:val="24"/>
                <w:szCs w:val="24"/>
                <w:lang w:val="en-US" w:eastAsia="zh-CN"/>
              </w:rPr>
              <w:t>-</w:t>
            </w:r>
          </w:p>
        </w:tc>
        <w:tc>
          <w:tcPr>
            <w:tcW w:w="3484" w:type="dxa"/>
            <w:noWrap/>
            <w:tcMar>
              <w:top w:w="15" w:type="dxa"/>
              <w:left w:w="15" w:type="dxa"/>
              <w:right w:w="15" w:type="dxa"/>
            </w:tcMar>
            <w:vAlign w:val="center"/>
          </w:tcPr>
          <w:p>
            <w:pPr>
              <w:bidi w:val="0"/>
              <w:jc w:val="center"/>
              <w:rPr>
                <w:rFonts w:hint="eastAsia"/>
                <w:sz w:val="24"/>
                <w:szCs w:val="24"/>
                <w:lang w:val="en-US" w:eastAsia="zh-CN"/>
              </w:rPr>
            </w:pPr>
            <w:r>
              <w:rPr>
                <w:rFonts w:hint="eastAsia"/>
                <w:sz w:val="24"/>
                <w:szCs w:val="24"/>
                <w:lang w:val="en-US" w:eastAsia="zh-CN"/>
              </w:rPr>
              <w:t>-</w:t>
            </w:r>
          </w:p>
        </w:tc>
      </w:tr>
    </w:tbl>
    <w:p>
      <w:pPr>
        <w:pStyle w:val="2"/>
        <w:rPr>
          <w:rFonts w:hint="eastAsia"/>
        </w:rPr>
      </w:pPr>
    </w:p>
    <w:p>
      <w:pPr>
        <w:pStyle w:val="4"/>
        <w:spacing w:before="480" w:after="240"/>
      </w:pPr>
      <w:bookmarkStart w:id="207" w:name="_Toc5967_WPSOffice_Level1"/>
      <w:bookmarkStart w:id="208" w:name="_Toc3596"/>
      <w:bookmarkStart w:id="209" w:name="_Toc3186"/>
      <w:bookmarkStart w:id="210" w:name="_Toc9948"/>
      <w:bookmarkStart w:id="211" w:name="_Toc9786"/>
      <w:bookmarkStart w:id="212" w:name="_Toc4480"/>
      <w:bookmarkStart w:id="213" w:name="_Toc32396"/>
      <w:bookmarkStart w:id="214" w:name="_Toc14457_WPSOffice_Level1"/>
      <w:bookmarkStart w:id="215" w:name="_Toc16254"/>
      <w:r>
        <w:rPr>
          <w:rFonts w:hint="eastAsia"/>
        </w:rPr>
        <w:t>第六章 分期建设规划</w:t>
      </w:r>
      <w:bookmarkEnd w:id="207"/>
      <w:bookmarkEnd w:id="208"/>
      <w:bookmarkEnd w:id="209"/>
      <w:bookmarkEnd w:id="210"/>
      <w:bookmarkEnd w:id="211"/>
      <w:bookmarkEnd w:id="212"/>
      <w:bookmarkEnd w:id="213"/>
      <w:bookmarkEnd w:id="214"/>
      <w:bookmarkEnd w:id="215"/>
    </w:p>
    <w:p>
      <w:pPr>
        <w:pStyle w:val="7"/>
        <w:outlineLvl w:val="1"/>
      </w:pPr>
      <w:bookmarkStart w:id="216" w:name="_Toc4824_WPSOffice_Level2"/>
      <w:bookmarkStart w:id="217" w:name="_Toc5488"/>
      <w:bookmarkStart w:id="218" w:name="_Toc30825_WPSOffice_Level2"/>
      <w:bookmarkStart w:id="219" w:name="_Toc23076"/>
      <w:bookmarkStart w:id="220" w:name="_Toc6335"/>
      <w:bookmarkStart w:id="221" w:name="_Toc22669"/>
      <w:r>
        <w:rPr>
          <w:rFonts w:hint="eastAsia"/>
        </w:rPr>
        <w:t>6.1概述</w:t>
      </w:r>
      <w:bookmarkEnd w:id="216"/>
      <w:bookmarkEnd w:id="217"/>
      <w:bookmarkEnd w:id="218"/>
      <w:bookmarkEnd w:id="219"/>
      <w:bookmarkEnd w:id="220"/>
      <w:bookmarkEnd w:id="221"/>
    </w:p>
    <w:p>
      <w:pPr>
        <w:pStyle w:val="2"/>
        <w:ind w:firstLine="560"/>
        <w:rPr>
          <w:rFonts w:hint="eastAsia" w:ascii="微软雅黑" w:hAnsi="微软雅黑" w:eastAsia="微软雅黑" w:cs="微软雅黑"/>
          <w:color w:val="3D3D3D"/>
          <w:szCs w:val="24"/>
        </w:rPr>
      </w:pPr>
      <w:r>
        <w:rPr>
          <w:rFonts w:hint="eastAsia"/>
          <w:lang w:eastAsia="zh-CN"/>
        </w:rPr>
        <w:t>友好区</w:t>
      </w:r>
      <w:r>
        <w:rPr>
          <w:rFonts w:hint="eastAsia"/>
        </w:rPr>
        <w:t>农村生活污水处理专项规划，主要内容包括以</w:t>
      </w:r>
      <w:r>
        <w:rPr>
          <w:rFonts w:hint="eastAsia"/>
          <w:lang w:eastAsia="zh-CN"/>
        </w:rPr>
        <w:t>有效管控</w:t>
      </w:r>
      <w:r>
        <w:rPr>
          <w:rFonts w:hint="eastAsia"/>
        </w:rPr>
        <w:t>为主</w:t>
      </w:r>
      <w:r>
        <w:rPr>
          <w:rFonts w:hint="eastAsia"/>
          <w:lang w:val="en-US" w:eastAsia="zh-CN"/>
        </w:rPr>
        <w:t>以及分散治理模式的配套设施等工程的建设工作</w:t>
      </w:r>
      <w:r>
        <w:rPr>
          <w:rFonts w:hint="eastAsia"/>
        </w:rPr>
        <w:t>。</w:t>
      </w:r>
    </w:p>
    <w:p>
      <w:pPr>
        <w:pStyle w:val="7"/>
        <w:outlineLvl w:val="1"/>
        <w:rPr>
          <w:rFonts w:hint="eastAsia"/>
        </w:rPr>
      </w:pPr>
      <w:bookmarkStart w:id="222" w:name="_Toc12481"/>
      <w:bookmarkEnd w:id="222"/>
      <w:bookmarkStart w:id="223" w:name="_Toc7825"/>
      <w:bookmarkStart w:id="224" w:name="_Toc14020"/>
      <w:bookmarkStart w:id="225" w:name="_Toc9103"/>
      <w:bookmarkStart w:id="226" w:name="_Toc14396_WPSOffice_Level2"/>
      <w:bookmarkStart w:id="227" w:name="_Toc13352_WPSOffice_Level2"/>
      <w:bookmarkStart w:id="228" w:name="_Toc26410"/>
      <w:r>
        <w:rPr>
          <w:rFonts w:hint="eastAsia"/>
        </w:rPr>
        <w:t>6.2分期建设规划</w:t>
      </w:r>
      <w:bookmarkEnd w:id="223"/>
      <w:bookmarkEnd w:id="224"/>
      <w:bookmarkEnd w:id="225"/>
      <w:bookmarkEnd w:id="226"/>
      <w:bookmarkEnd w:id="227"/>
      <w:bookmarkEnd w:id="228"/>
    </w:p>
    <w:p>
      <w:pPr>
        <w:pStyle w:val="2"/>
        <w:ind w:firstLine="560"/>
        <w:rPr>
          <w:rFonts w:hint="default" w:eastAsia="宋体"/>
          <w:lang w:val="en-US" w:eastAsia="zh-CN"/>
        </w:rPr>
      </w:pPr>
      <w:r>
        <w:rPr>
          <w:rFonts w:hint="eastAsia"/>
        </w:rPr>
        <w:t>根据规划期限，</w:t>
      </w:r>
      <w:r>
        <w:rPr>
          <w:rFonts w:hint="eastAsia"/>
          <w:lang w:eastAsia="zh-CN"/>
        </w:rPr>
        <w:t>友好区</w:t>
      </w:r>
      <w:r>
        <w:rPr>
          <w:rFonts w:hint="eastAsia"/>
        </w:rPr>
        <w:t>农村污水近期规划范围内的</w:t>
      </w:r>
      <w:r>
        <w:rPr>
          <w:rFonts w:hint="eastAsia"/>
          <w:lang w:val="en-US" w:eastAsia="zh-CN"/>
        </w:rPr>
        <w:t>9</w:t>
      </w:r>
      <w:r>
        <w:rPr>
          <w:rFonts w:hint="eastAsia"/>
        </w:rPr>
        <w:t>个村屯，分别采用</w:t>
      </w:r>
      <w:r>
        <w:rPr>
          <w:rFonts w:hint="eastAsia"/>
          <w:lang w:eastAsia="zh-CN"/>
        </w:rPr>
        <w:t>纳管模式</w:t>
      </w:r>
      <w:r>
        <w:rPr>
          <w:rFonts w:hint="eastAsia"/>
        </w:rPr>
        <w:t>及</w:t>
      </w:r>
      <w:r>
        <w:rPr>
          <w:rFonts w:hint="eastAsia"/>
          <w:lang w:eastAsia="zh-CN"/>
        </w:rPr>
        <w:t>有效管控</w:t>
      </w:r>
      <w:r>
        <w:rPr>
          <w:rFonts w:hint="eastAsia"/>
        </w:rPr>
        <w:t>模式</w:t>
      </w:r>
      <w:r>
        <w:rPr>
          <w:rFonts w:hint="eastAsia"/>
          <w:lang w:eastAsia="zh-CN"/>
        </w:rPr>
        <w:t>。</w:t>
      </w:r>
      <w:r>
        <w:rPr>
          <w:rFonts w:hint="eastAsia"/>
          <w:lang w:val="en-US" w:eastAsia="zh-CN"/>
        </w:rPr>
        <w:t>具体建设时间见表6-1。</w:t>
      </w:r>
    </w:p>
    <w:p>
      <w:pPr>
        <w:pStyle w:val="24"/>
        <w:rPr>
          <w:rFonts w:hint="eastAsia"/>
        </w:rPr>
      </w:pPr>
      <w:r>
        <w:rPr>
          <w:rFonts w:hint="eastAsia"/>
        </w:rPr>
        <w:t>表6-</w:t>
      </w:r>
      <w:r>
        <w:rPr>
          <w:rFonts w:hint="eastAsia"/>
          <w:lang w:val="en-US" w:eastAsia="zh-CN"/>
        </w:rPr>
        <w:t>1</w:t>
      </w:r>
      <w:r>
        <w:rPr>
          <w:rFonts w:hint="eastAsia"/>
        </w:rPr>
        <w:t xml:space="preserve">  近期工程规划分期建设时间表</w:t>
      </w:r>
    </w:p>
    <w:tbl>
      <w:tblPr>
        <w:tblStyle w:val="41"/>
        <w:tblW w:w="10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21"/>
        <w:gridCol w:w="1420"/>
        <w:gridCol w:w="2538"/>
        <w:gridCol w:w="2212"/>
        <w:gridCol w:w="1579"/>
        <w:gridCol w:w="1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jc w:val="center"/>
        </w:trPr>
        <w:tc>
          <w:tcPr>
            <w:tcW w:w="1421" w:type="dxa"/>
            <w:vMerge w:val="restart"/>
            <w:noWrap/>
            <w:tcMar>
              <w:top w:w="15" w:type="dxa"/>
              <w:left w:w="15" w:type="dxa"/>
              <w:right w:w="15" w:type="dxa"/>
            </w:tcMar>
            <w:vAlign w:val="center"/>
          </w:tcPr>
          <w:p>
            <w:pPr>
              <w:pStyle w:val="25"/>
              <w:bidi w:val="0"/>
            </w:pPr>
            <w:r>
              <w:rPr>
                <w:rFonts w:hint="eastAsia"/>
                <w:lang w:val="en-US" w:eastAsia="zh-CN"/>
              </w:rPr>
              <w:t>行政村</w:t>
            </w:r>
          </w:p>
        </w:tc>
        <w:tc>
          <w:tcPr>
            <w:tcW w:w="1420" w:type="dxa"/>
            <w:vMerge w:val="restart"/>
            <w:noWrap/>
            <w:tcMar>
              <w:top w:w="15" w:type="dxa"/>
              <w:left w:w="15" w:type="dxa"/>
              <w:right w:w="15" w:type="dxa"/>
            </w:tcMar>
            <w:vAlign w:val="center"/>
          </w:tcPr>
          <w:p>
            <w:pPr>
              <w:pStyle w:val="25"/>
              <w:bidi w:val="0"/>
              <w:rPr>
                <w:rFonts w:hint="eastAsia"/>
              </w:rPr>
            </w:pPr>
            <w:r>
              <w:rPr>
                <w:rFonts w:hint="eastAsia"/>
                <w:lang w:val="en-US" w:eastAsia="zh-CN"/>
              </w:rPr>
              <w:t>自然屯</w:t>
            </w:r>
          </w:p>
        </w:tc>
        <w:tc>
          <w:tcPr>
            <w:tcW w:w="4750" w:type="dxa"/>
            <w:gridSpan w:val="2"/>
            <w:noWrap/>
            <w:tcMar>
              <w:top w:w="15" w:type="dxa"/>
              <w:left w:w="15" w:type="dxa"/>
              <w:right w:w="15" w:type="dxa"/>
            </w:tcMar>
            <w:vAlign w:val="center"/>
          </w:tcPr>
          <w:p>
            <w:pPr>
              <w:pStyle w:val="25"/>
              <w:bidi w:val="0"/>
              <w:rPr>
                <w:rFonts w:hint="eastAsia"/>
                <w:lang w:val="en-US" w:eastAsia="zh-CN"/>
              </w:rPr>
            </w:pPr>
            <w:r>
              <w:rPr>
                <w:rFonts w:hint="eastAsia"/>
                <w:lang w:val="en-US" w:eastAsia="zh-CN"/>
              </w:rPr>
              <w:t>工程量</w:t>
            </w:r>
          </w:p>
        </w:tc>
        <w:tc>
          <w:tcPr>
            <w:tcW w:w="1579" w:type="dxa"/>
            <w:vMerge w:val="restart"/>
            <w:noWrap/>
            <w:tcMar>
              <w:top w:w="15" w:type="dxa"/>
              <w:left w:w="15" w:type="dxa"/>
              <w:right w:w="15" w:type="dxa"/>
            </w:tcMar>
            <w:vAlign w:val="center"/>
          </w:tcPr>
          <w:p>
            <w:pPr>
              <w:pStyle w:val="25"/>
              <w:bidi w:val="0"/>
              <w:rPr>
                <w:rFonts w:hint="eastAsia" w:eastAsia="宋体"/>
                <w:lang w:val="en-US" w:eastAsia="zh-CN"/>
              </w:rPr>
            </w:pPr>
            <w:r>
              <w:rPr>
                <w:rFonts w:hint="eastAsia"/>
                <w:lang w:val="en-US" w:eastAsia="zh-CN"/>
              </w:rPr>
              <w:t>治理模式</w:t>
            </w:r>
          </w:p>
        </w:tc>
        <w:tc>
          <w:tcPr>
            <w:tcW w:w="1136" w:type="dxa"/>
            <w:vMerge w:val="restart"/>
            <w:noWrap/>
            <w:tcMar>
              <w:top w:w="15" w:type="dxa"/>
              <w:left w:w="15" w:type="dxa"/>
              <w:right w:w="15" w:type="dxa"/>
            </w:tcMar>
            <w:vAlign w:val="center"/>
          </w:tcPr>
          <w:p>
            <w:pPr>
              <w:pStyle w:val="25"/>
              <w:bidi w:val="0"/>
            </w:pPr>
            <w:r>
              <w:rPr>
                <w:rFonts w:hint="eastAsia"/>
              </w:rPr>
              <w:t>计划建设时间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1421" w:type="dxa"/>
            <w:vMerge w:val="continue"/>
            <w:noWrap/>
            <w:tcMar>
              <w:top w:w="15" w:type="dxa"/>
              <w:left w:w="15" w:type="dxa"/>
              <w:right w:w="15" w:type="dxa"/>
            </w:tcMar>
            <w:vAlign w:val="center"/>
          </w:tcPr>
          <w:p>
            <w:pPr>
              <w:pStyle w:val="25"/>
              <w:bidi w:val="0"/>
              <w:rPr>
                <w:rFonts w:hint="eastAsia"/>
              </w:rPr>
            </w:pPr>
          </w:p>
        </w:tc>
        <w:tc>
          <w:tcPr>
            <w:tcW w:w="1420" w:type="dxa"/>
            <w:vMerge w:val="continue"/>
            <w:noWrap/>
            <w:tcMar>
              <w:top w:w="15" w:type="dxa"/>
              <w:left w:w="15" w:type="dxa"/>
              <w:right w:w="15" w:type="dxa"/>
            </w:tcMar>
            <w:vAlign w:val="center"/>
          </w:tcPr>
          <w:p>
            <w:pPr>
              <w:pStyle w:val="25"/>
              <w:bidi w:val="0"/>
              <w:rPr>
                <w:rFonts w:hint="eastAsia"/>
              </w:rPr>
            </w:pPr>
          </w:p>
        </w:tc>
        <w:tc>
          <w:tcPr>
            <w:tcW w:w="2538" w:type="dxa"/>
            <w:noWrap/>
            <w:tcMar>
              <w:top w:w="15" w:type="dxa"/>
              <w:left w:w="15" w:type="dxa"/>
              <w:right w:w="15" w:type="dxa"/>
            </w:tcMar>
            <w:vAlign w:val="center"/>
          </w:tcPr>
          <w:p>
            <w:pPr>
              <w:pStyle w:val="25"/>
              <w:bidi w:val="0"/>
              <w:rPr>
                <w:rFonts w:hint="eastAsia"/>
                <w:lang w:val="en-US" w:eastAsia="zh-CN"/>
              </w:rPr>
            </w:pPr>
            <w:r>
              <w:rPr>
                <w:rFonts w:hint="eastAsia"/>
                <w:lang w:val="en-US" w:eastAsia="zh-CN"/>
              </w:rPr>
              <w:t>收集系统</w:t>
            </w:r>
          </w:p>
        </w:tc>
        <w:tc>
          <w:tcPr>
            <w:tcW w:w="2212" w:type="dxa"/>
            <w:noWrap/>
            <w:tcMar>
              <w:top w:w="15" w:type="dxa"/>
              <w:left w:w="15" w:type="dxa"/>
              <w:right w:w="15" w:type="dxa"/>
            </w:tcMar>
            <w:vAlign w:val="center"/>
          </w:tcPr>
          <w:p>
            <w:pPr>
              <w:pStyle w:val="25"/>
              <w:bidi w:val="0"/>
              <w:rPr>
                <w:rFonts w:hint="eastAsia"/>
              </w:rPr>
            </w:pPr>
            <w:r>
              <w:rPr>
                <w:rFonts w:hint="eastAsia"/>
              </w:rPr>
              <w:t>处置系统</w:t>
            </w:r>
          </w:p>
        </w:tc>
        <w:tc>
          <w:tcPr>
            <w:tcW w:w="1579" w:type="dxa"/>
            <w:vMerge w:val="continue"/>
            <w:noWrap/>
            <w:tcMar>
              <w:top w:w="15" w:type="dxa"/>
              <w:left w:w="15" w:type="dxa"/>
              <w:right w:w="15" w:type="dxa"/>
            </w:tcMar>
            <w:vAlign w:val="center"/>
          </w:tcPr>
          <w:p>
            <w:pPr>
              <w:pStyle w:val="25"/>
              <w:bidi w:val="0"/>
              <w:rPr>
                <w:rFonts w:hint="eastAsia"/>
              </w:rPr>
            </w:pPr>
          </w:p>
        </w:tc>
        <w:tc>
          <w:tcPr>
            <w:tcW w:w="1136" w:type="dxa"/>
            <w:vMerge w:val="continue"/>
            <w:noWrap/>
            <w:tcMar>
              <w:top w:w="15" w:type="dxa"/>
              <w:left w:w="15" w:type="dxa"/>
              <w:right w:w="15" w:type="dxa"/>
            </w:tcMar>
            <w:vAlign w:val="center"/>
          </w:tcPr>
          <w:p>
            <w:pPr>
              <w:pStyle w:val="25"/>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1421" w:type="dxa"/>
            <w:vMerge w:val="continue"/>
            <w:noWrap/>
            <w:tcMar>
              <w:top w:w="15" w:type="dxa"/>
              <w:left w:w="15" w:type="dxa"/>
              <w:right w:w="15" w:type="dxa"/>
            </w:tcMar>
            <w:vAlign w:val="center"/>
          </w:tcPr>
          <w:p>
            <w:pPr>
              <w:pStyle w:val="25"/>
              <w:bidi w:val="0"/>
              <w:rPr>
                <w:rFonts w:hint="eastAsia"/>
              </w:rPr>
            </w:pPr>
          </w:p>
        </w:tc>
        <w:tc>
          <w:tcPr>
            <w:tcW w:w="1420" w:type="dxa"/>
            <w:vMerge w:val="continue"/>
            <w:noWrap w:val="0"/>
            <w:vAlign w:val="center"/>
          </w:tcPr>
          <w:p>
            <w:pPr>
              <w:pStyle w:val="25"/>
              <w:bidi w:val="0"/>
              <w:rPr>
                <w:rFonts w:hint="eastAsia"/>
              </w:rPr>
            </w:pPr>
          </w:p>
        </w:tc>
        <w:tc>
          <w:tcPr>
            <w:tcW w:w="2538" w:type="dxa"/>
            <w:noWrap w:val="0"/>
            <w:vAlign w:val="center"/>
          </w:tcPr>
          <w:p>
            <w:pPr>
              <w:pStyle w:val="25"/>
              <w:bidi w:val="0"/>
              <w:rPr>
                <w:rFonts w:hint="default"/>
                <w:lang w:val="en-US" w:eastAsia="zh-CN"/>
              </w:rPr>
            </w:pPr>
            <w:r>
              <w:rPr>
                <w:rFonts w:hint="eastAsia"/>
                <w:lang w:val="en-US" w:eastAsia="zh-CN"/>
              </w:rPr>
              <w:t>管线（km）</w:t>
            </w:r>
          </w:p>
        </w:tc>
        <w:tc>
          <w:tcPr>
            <w:tcW w:w="2212" w:type="dxa"/>
            <w:noWrap/>
            <w:tcMar>
              <w:top w:w="15" w:type="dxa"/>
              <w:left w:w="15" w:type="dxa"/>
              <w:right w:w="15" w:type="dxa"/>
            </w:tcMar>
            <w:vAlign w:val="center"/>
          </w:tcPr>
          <w:p>
            <w:pPr>
              <w:pStyle w:val="25"/>
              <w:bidi w:val="0"/>
              <w:rPr>
                <w:rFonts w:hint="eastAsia"/>
              </w:rPr>
            </w:pPr>
            <w:r>
              <w:rPr>
                <w:rFonts w:hint="eastAsia"/>
                <w:lang w:val="en-US" w:eastAsia="zh-CN"/>
              </w:rPr>
              <w:t>2格集中化粪池（m</w:t>
            </w:r>
            <w:r>
              <w:rPr>
                <w:rFonts w:hint="eastAsia"/>
                <w:vertAlign w:val="superscript"/>
                <w:lang w:val="en-US" w:eastAsia="zh-CN"/>
              </w:rPr>
              <w:t>3</w:t>
            </w:r>
            <w:r>
              <w:rPr>
                <w:rFonts w:hint="eastAsia"/>
                <w:lang w:val="en-US" w:eastAsia="zh-CN"/>
              </w:rPr>
              <w:t>）</w:t>
            </w:r>
          </w:p>
        </w:tc>
        <w:tc>
          <w:tcPr>
            <w:tcW w:w="1579" w:type="dxa"/>
            <w:vMerge w:val="continue"/>
            <w:noWrap/>
            <w:tcMar>
              <w:top w:w="15" w:type="dxa"/>
              <w:left w:w="15" w:type="dxa"/>
              <w:right w:w="15" w:type="dxa"/>
            </w:tcMar>
            <w:vAlign w:val="center"/>
          </w:tcPr>
          <w:p>
            <w:pPr>
              <w:pStyle w:val="25"/>
              <w:bidi w:val="0"/>
              <w:rPr>
                <w:rFonts w:hint="eastAsia"/>
              </w:rPr>
            </w:pPr>
          </w:p>
        </w:tc>
        <w:tc>
          <w:tcPr>
            <w:tcW w:w="1136" w:type="dxa"/>
            <w:vMerge w:val="continue"/>
            <w:noWrap/>
            <w:tcMar>
              <w:top w:w="15" w:type="dxa"/>
              <w:left w:w="15" w:type="dxa"/>
              <w:right w:w="15" w:type="dxa"/>
            </w:tcMar>
            <w:vAlign w:val="center"/>
          </w:tcPr>
          <w:p>
            <w:pPr>
              <w:pStyle w:val="25"/>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9" w:hRule="atLeast"/>
          <w:jc w:val="center"/>
        </w:trPr>
        <w:tc>
          <w:tcPr>
            <w:tcW w:w="1421" w:type="dxa"/>
            <w:noWrap/>
            <w:tcMar>
              <w:top w:w="15" w:type="dxa"/>
              <w:left w:w="15" w:type="dxa"/>
              <w:right w:w="15" w:type="dxa"/>
            </w:tcMar>
            <w:vAlign w:val="center"/>
          </w:tcPr>
          <w:p>
            <w:pPr>
              <w:pStyle w:val="25"/>
              <w:bidi w:val="0"/>
            </w:pPr>
            <w:r>
              <w:rPr>
                <w:rFonts w:hint="eastAsia"/>
                <w:lang w:val="en-US" w:eastAsia="zh-CN"/>
              </w:rPr>
              <w:t>青山村</w:t>
            </w:r>
          </w:p>
        </w:tc>
        <w:tc>
          <w:tcPr>
            <w:tcW w:w="1420" w:type="dxa"/>
            <w:noWrap w:val="0"/>
            <w:vAlign w:val="center"/>
          </w:tcPr>
          <w:p>
            <w:pPr>
              <w:pStyle w:val="25"/>
              <w:bidi w:val="0"/>
              <w:rPr>
                <w:rFonts w:hint="eastAsia"/>
                <w:lang w:val="en-US" w:eastAsia="zh-CN"/>
              </w:rPr>
            </w:pPr>
            <w:r>
              <w:rPr>
                <w:rFonts w:hint="eastAsia"/>
                <w:lang w:val="en-US" w:eastAsia="zh-CN"/>
              </w:rPr>
              <w:t>1队</w:t>
            </w:r>
          </w:p>
        </w:tc>
        <w:tc>
          <w:tcPr>
            <w:tcW w:w="2538" w:type="dxa"/>
            <w:noWrap w:val="0"/>
            <w:vAlign w:val="center"/>
          </w:tcPr>
          <w:p>
            <w:pPr>
              <w:pStyle w:val="25"/>
              <w:bidi w:val="0"/>
              <w:rPr>
                <w:rFonts w:hint="eastAsia"/>
                <w:lang w:val="en-US" w:eastAsia="zh-CN"/>
              </w:rPr>
            </w:pPr>
            <w:r>
              <w:rPr>
                <w:rFonts w:hint="eastAsia"/>
                <w:lang w:val="en-US" w:eastAsia="zh-CN"/>
              </w:rPr>
              <w:t>-</w:t>
            </w:r>
          </w:p>
        </w:tc>
        <w:tc>
          <w:tcPr>
            <w:tcW w:w="2212" w:type="dxa"/>
            <w:noWrap/>
            <w:tcMar>
              <w:top w:w="15" w:type="dxa"/>
              <w:left w:w="15" w:type="dxa"/>
              <w:right w:w="15" w:type="dxa"/>
            </w:tcMar>
            <w:vAlign w:val="center"/>
          </w:tcPr>
          <w:p>
            <w:pPr>
              <w:pStyle w:val="25"/>
              <w:bidi w:val="0"/>
              <w:rPr>
                <w:rFonts w:hint="default"/>
                <w:lang w:val="en-US" w:eastAsia="zh-CN"/>
              </w:rPr>
            </w:pPr>
            <w:r>
              <w:rPr>
                <w:rFonts w:hint="eastAsia"/>
                <w:lang w:val="en-US" w:eastAsia="zh-CN"/>
              </w:rPr>
              <w:t>-</w:t>
            </w:r>
          </w:p>
        </w:tc>
        <w:tc>
          <w:tcPr>
            <w:tcW w:w="1579" w:type="dxa"/>
            <w:noWrap/>
            <w:tcMar>
              <w:top w:w="15" w:type="dxa"/>
              <w:left w:w="15" w:type="dxa"/>
              <w:right w:w="15" w:type="dxa"/>
            </w:tcMar>
            <w:vAlign w:val="center"/>
          </w:tcPr>
          <w:p>
            <w:pPr>
              <w:pStyle w:val="25"/>
              <w:bidi w:val="0"/>
              <w:rPr>
                <w:rFonts w:hint="eastAsia"/>
                <w:lang w:val="en-US" w:eastAsia="zh-CN"/>
              </w:rPr>
            </w:pPr>
            <w:r>
              <w:rPr>
                <w:rFonts w:hint="eastAsia"/>
                <w:lang w:val="en-US" w:eastAsia="zh-CN"/>
              </w:rPr>
              <w:t>有效管控</w:t>
            </w:r>
          </w:p>
        </w:tc>
        <w:tc>
          <w:tcPr>
            <w:tcW w:w="1136" w:type="dxa"/>
            <w:noWrap/>
            <w:tcMar>
              <w:top w:w="15" w:type="dxa"/>
              <w:left w:w="15" w:type="dxa"/>
              <w:right w:w="15" w:type="dxa"/>
            </w:tcMar>
            <w:vAlign w:val="center"/>
          </w:tcPr>
          <w:p>
            <w:pPr>
              <w:pStyle w:val="25"/>
              <w:bidi w:val="0"/>
              <w:rPr>
                <w:rFonts w:hint="default"/>
                <w:lang w:val="en-US" w:eastAsia="zh-CN"/>
              </w:rPr>
            </w:pPr>
            <w:r>
              <w:rPr>
                <w:rFonts w:hint="eastAsia"/>
                <w:lang w:val="en-US" w:eastAsia="zh-CN"/>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6" w:hRule="atLeast"/>
          <w:jc w:val="center"/>
        </w:trPr>
        <w:tc>
          <w:tcPr>
            <w:tcW w:w="1421" w:type="dxa"/>
            <w:noWrap/>
            <w:tcMar>
              <w:top w:w="15" w:type="dxa"/>
              <w:left w:w="15" w:type="dxa"/>
              <w:right w:w="15" w:type="dxa"/>
            </w:tcMar>
            <w:vAlign w:val="center"/>
          </w:tcPr>
          <w:p>
            <w:pPr>
              <w:pStyle w:val="25"/>
              <w:bidi w:val="0"/>
            </w:pPr>
            <w:r>
              <w:rPr>
                <w:rFonts w:hint="eastAsia"/>
                <w:lang w:val="en-US" w:eastAsia="zh-CN"/>
              </w:rPr>
              <w:t>青山村</w:t>
            </w:r>
          </w:p>
        </w:tc>
        <w:tc>
          <w:tcPr>
            <w:tcW w:w="1420" w:type="dxa"/>
            <w:noWrap w:val="0"/>
            <w:vAlign w:val="center"/>
          </w:tcPr>
          <w:p>
            <w:pPr>
              <w:pStyle w:val="25"/>
              <w:bidi w:val="0"/>
              <w:rPr>
                <w:rFonts w:hint="eastAsia"/>
                <w:lang w:val="en-US" w:eastAsia="zh-CN"/>
              </w:rPr>
            </w:pPr>
            <w:r>
              <w:rPr>
                <w:rFonts w:hint="eastAsia"/>
                <w:lang w:val="en-US" w:eastAsia="zh-CN"/>
              </w:rPr>
              <w:t>2队</w:t>
            </w:r>
          </w:p>
        </w:tc>
        <w:tc>
          <w:tcPr>
            <w:tcW w:w="2538" w:type="dxa"/>
            <w:noWrap w:val="0"/>
            <w:vAlign w:val="center"/>
          </w:tcPr>
          <w:p>
            <w:pPr>
              <w:pStyle w:val="25"/>
              <w:bidi w:val="0"/>
              <w:rPr>
                <w:rFonts w:hint="eastAsia"/>
                <w:lang w:val="en-US" w:eastAsia="zh-CN"/>
              </w:rPr>
            </w:pPr>
            <w:r>
              <w:rPr>
                <w:rFonts w:hint="eastAsia"/>
                <w:lang w:val="en-US" w:eastAsia="zh-CN"/>
              </w:rPr>
              <w:t>-</w:t>
            </w:r>
          </w:p>
        </w:tc>
        <w:tc>
          <w:tcPr>
            <w:tcW w:w="2212" w:type="dxa"/>
            <w:noWrap/>
            <w:tcMar>
              <w:top w:w="15" w:type="dxa"/>
              <w:left w:w="15" w:type="dxa"/>
              <w:right w:w="15" w:type="dxa"/>
            </w:tcMar>
            <w:vAlign w:val="center"/>
          </w:tcPr>
          <w:p>
            <w:pPr>
              <w:pStyle w:val="25"/>
              <w:bidi w:val="0"/>
              <w:rPr>
                <w:rFonts w:hint="eastAsia"/>
                <w:lang w:val="en-US" w:eastAsia="zh-CN"/>
              </w:rPr>
            </w:pPr>
            <w:r>
              <w:rPr>
                <w:rFonts w:hint="eastAsia"/>
                <w:lang w:val="en-US" w:eastAsia="zh-CN"/>
              </w:rPr>
              <w:t>-</w:t>
            </w:r>
          </w:p>
        </w:tc>
        <w:tc>
          <w:tcPr>
            <w:tcW w:w="1579" w:type="dxa"/>
            <w:noWrap/>
            <w:tcMar>
              <w:top w:w="15" w:type="dxa"/>
              <w:left w:w="15" w:type="dxa"/>
              <w:right w:w="15" w:type="dxa"/>
            </w:tcMar>
            <w:vAlign w:val="center"/>
          </w:tcPr>
          <w:p>
            <w:pPr>
              <w:pStyle w:val="25"/>
              <w:bidi w:val="0"/>
              <w:rPr>
                <w:rFonts w:hint="eastAsia"/>
                <w:lang w:val="en-US" w:eastAsia="zh-CN"/>
              </w:rPr>
            </w:pPr>
            <w:r>
              <w:rPr>
                <w:rFonts w:hint="eastAsia"/>
                <w:lang w:val="en-US" w:eastAsia="zh-CN"/>
              </w:rPr>
              <w:t>有效管控</w:t>
            </w:r>
          </w:p>
        </w:tc>
        <w:tc>
          <w:tcPr>
            <w:tcW w:w="1136" w:type="dxa"/>
            <w:noWrap/>
            <w:tcMar>
              <w:top w:w="15" w:type="dxa"/>
              <w:left w:w="15" w:type="dxa"/>
              <w:right w:w="15" w:type="dxa"/>
            </w:tcMar>
            <w:vAlign w:val="center"/>
          </w:tcPr>
          <w:p>
            <w:pPr>
              <w:pStyle w:val="25"/>
              <w:bidi w:val="0"/>
              <w:rPr>
                <w:rFonts w:hint="eastAsia"/>
                <w:lang w:val="en-US" w:eastAsia="zh-CN"/>
              </w:rPr>
            </w:pPr>
            <w:r>
              <w:rPr>
                <w:rFonts w:hint="eastAsia"/>
                <w:lang w:val="en-US" w:eastAsia="zh-CN"/>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1421" w:type="dxa"/>
            <w:noWrap/>
            <w:tcMar>
              <w:top w:w="15" w:type="dxa"/>
              <w:left w:w="15" w:type="dxa"/>
              <w:right w:w="15" w:type="dxa"/>
            </w:tcMar>
            <w:vAlign w:val="center"/>
          </w:tcPr>
          <w:p>
            <w:pPr>
              <w:pStyle w:val="25"/>
              <w:bidi w:val="0"/>
            </w:pPr>
            <w:r>
              <w:rPr>
                <w:rFonts w:hint="eastAsia"/>
                <w:lang w:val="en-US" w:eastAsia="zh-CN"/>
              </w:rPr>
              <w:t>青山村</w:t>
            </w:r>
          </w:p>
        </w:tc>
        <w:tc>
          <w:tcPr>
            <w:tcW w:w="1420" w:type="dxa"/>
            <w:noWrap w:val="0"/>
            <w:vAlign w:val="center"/>
          </w:tcPr>
          <w:p>
            <w:pPr>
              <w:pStyle w:val="25"/>
              <w:bidi w:val="0"/>
              <w:rPr>
                <w:rFonts w:hint="eastAsia"/>
                <w:lang w:val="en-US" w:eastAsia="zh-CN"/>
              </w:rPr>
            </w:pPr>
            <w:r>
              <w:rPr>
                <w:rFonts w:hint="eastAsia"/>
                <w:lang w:val="en-US" w:eastAsia="zh-CN"/>
              </w:rPr>
              <w:t>3队</w:t>
            </w:r>
          </w:p>
        </w:tc>
        <w:tc>
          <w:tcPr>
            <w:tcW w:w="2538" w:type="dxa"/>
            <w:noWrap w:val="0"/>
            <w:vAlign w:val="center"/>
          </w:tcPr>
          <w:p>
            <w:pPr>
              <w:pStyle w:val="25"/>
              <w:bidi w:val="0"/>
              <w:rPr>
                <w:rFonts w:hint="eastAsia"/>
                <w:lang w:val="en-US" w:eastAsia="zh-CN"/>
              </w:rPr>
            </w:pPr>
            <w:r>
              <w:rPr>
                <w:rFonts w:hint="eastAsia"/>
                <w:lang w:val="en-US" w:eastAsia="zh-CN"/>
              </w:rPr>
              <w:t>-</w:t>
            </w:r>
          </w:p>
        </w:tc>
        <w:tc>
          <w:tcPr>
            <w:tcW w:w="2212" w:type="dxa"/>
            <w:noWrap/>
            <w:tcMar>
              <w:top w:w="15" w:type="dxa"/>
              <w:left w:w="15" w:type="dxa"/>
              <w:right w:w="15" w:type="dxa"/>
            </w:tcMar>
            <w:vAlign w:val="center"/>
          </w:tcPr>
          <w:p>
            <w:pPr>
              <w:pStyle w:val="25"/>
              <w:bidi w:val="0"/>
              <w:rPr>
                <w:rFonts w:hint="default"/>
                <w:lang w:val="en-US" w:eastAsia="zh-CN"/>
              </w:rPr>
            </w:pPr>
            <w:r>
              <w:rPr>
                <w:rFonts w:hint="eastAsia"/>
                <w:lang w:val="en-US" w:eastAsia="zh-CN"/>
              </w:rPr>
              <w:t>-</w:t>
            </w:r>
          </w:p>
        </w:tc>
        <w:tc>
          <w:tcPr>
            <w:tcW w:w="1579" w:type="dxa"/>
            <w:noWrap/>
            <w:tcMar>
              <w:top w:w="15" w:type="dxa"/>
              <w:left w:w="15" w:type="dxa"/>
              <w:right w:w="15" w:type="dxa"/>
            </w:tcMar>
            <w:vAlign w:val="center"/>
          </w:tcPr>
          <w:p>
            <w:pPr>
              <w:pStyle w:val="25"/>
              <w:bidi w:val="0"/>
              <w:rPr>
                <w:rFonts w:hint="eastAsia"/>
                <w:lang w:val="en-US" w:eastAsia="zh-CN"/>
              </w:rPr>
            </w:pPr>
            <w:r>
              <w:rPr>
                <w:rFonts w:hint="eastAsia"/>
                <w:lang w:val="en-US" w:eastAsia="zh-CN"/>
              </w:rPr>
              <w:t>有效管控</w:t>
            </w:r>
          </w:p>
        </w:tc>
        <w:tc>
          <w:tcPr>
            <w:tcW w:w="1136" w:type="dxa"/>
            <w:noWrap/>
            <w:tcMar>
              <w:top w:w="15" w:type="dxa"/>
              <w:left w:w="15" w:type="dxa"/>
              <w:right w:w="15" w:type="dxa"/>
            </w:tcMar>
            <w:vAlign w:val="center"/>
          </w:tcPr>
          <w:p>
            <w:pPr>
              <w:pStyle w:val="25"/>
              <w:bidi w:val="0"/>
              <w:rPr>
                <w:rFonts w:hint="eastAsia"/>
                <w:lang w:val="en-US" w:eastAsia="zh-CN"/>
              </w:rPr>
            </w:pPr>
            <w:r>
              <w:rPr>
                <w:rFonts w:hint="eastAsia"/>
                <w:lang w:val="en-US" w:eastAsia="zh-CN"/>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1421" w:type="dxa"/>
            <w:noWrap/>
            <w:tcMar>
              <w:top w:w="15" w:type="dxa"/>
              <w:left w:w="15" w:type="dxa"/>
              <w:right w:w="15" w:type="dxa"/>
            </w:tcMar>
            <w:vAlign w:val="center"/>
          </w:tcPr>
          <w:p>
            <w:pPr>
              <w:pStyle w:val="25"/>
              <w:bidi w:val="0"/>
            </w:pPr>
            <w:r>
              <w:rPr>
                <w:rFonts w:hint="eastAsia"/>
                <w:lang w:val="en-US" w:eastAsia="zh-CN"/>
              </w:rPr>
              <w:t>爱国村</w:t>
            </w:r>
          </w:p>
        </w:tc>
        <w:tc>
          <w:tcPr>
            <w:tcW w:w="1420" w:type="dxa"/>
            <w:noWrap w:val="0"/>
            <w:vAlign w:val="center"/>
          </w:tcPr>
          <w:p>
            <w:pPr>
              <w:pStyle w:val="25"/>
              <w:bidi w:val="0"/>
              <w:rPr>
                <w:rFonts w:hint="eastAsia"/>
                <w:lang w:val="en-US" w:eastAsia="zh-CN"/>
              </w:rPr>
            </w:pPr>
            <w:r>
              <w:rPr>
                <w:rFonts w:hint="eastAsia"/>
                <w:lang w:val="en-US" w:eastAsia="zh-CN"/>
              </w:rPr>
              <w:t>1队</w:t>
            </w:r>
          </w:p>
        </w:tc>
        <w:tc>
          <w:tcPr>
            <w:tcW w:w="2538" w:type="dxa"/>
            <w:noWrap w:val="0"/>
            <w:vAlign w:val="center"/>
          </w:tcPr>
          <w:p>
            <w:pPr>
              <w:pStyle w:val="25"/>
              <w:bidi w:val="0"/>
              <w:rPr>
                <w:rFonts w:hint="eastAsia"/>
                <w:lang w:val="en-US" w:eastAsia="zh-CN"/>
              </w:rPr>
            </w:pPr>
            <w:r>
              <w:rPr>
                <w:rFonts w:hint="eastAsia"/>
                <w:lang w:val="en-US" w:eastAsia="zh-CN"/>
              </w:rPr>
              <w:t>-</w:t>
            </w:r>
          </w:p>
        </w:tc>
        <w:tc>
          <w:tcPr>
            <w:tcW w:w="2212" w:type="dxa"/>
            <w:noWrap/>
            <w:tcMar>
              <w:top w:w="15" w:type="dxa"/>
              <w:left w:w="15" w:type="dxa"/>
              <w:right w:w="15" w:type="dxa"/>
            </w:tcMar>
            <w:vAlign w:val="center"/>
          </w:tcPr>
          <w:p>
            <w:pPr>
              <w:bidi w:val="0"/>
              <w:jc w:val="center"/>
              <w:rPr>
                <w:rFonts w:hint="eastAsia"/>
                <w:lang w:val="en-US" w:eastAsia="zh-CN"/>
              </w:rPr>
            </w:pPr>
            <w:r>
              <w:rPr>
                <w:rFonts w:hint="eastAsia"/>
                <w:lang w:val="en-US" w:eastAsia="zh-CN"/>
              </w:rPr>
              <w:t>-</w:t>
            </w:r>
          </w:p>
        </w:tc>
        <w:tc>
          <w:tcPr>
            <w:tcW w:w="1579" w:type="dxa"/>
            <w:noWrap/>
            <w:tcMar>
              <w:top w:w="15" w:type="dxa"/>
              <w:left w:w="15" w:type="dxa"/>
              <w:right w:w="15" w:type="dxa"/>
            </w:tcMar>
            <w:vAlign w:val="center"/>
          </w:tcPr>
          <w:p>
            <w:pPr>
              <w:pStyle w:val="25"/>
              <w:bidi w:val="0"/>
              <w:rPr>
                <w:rFonts w:hint="eastAsia"/>
                <w:lang w:val="en-US" w:eastAsia="zh-CN"/>
              </w:rPr>
            </w:pPr>
            <w:r>
              <w:rPr>
                <w:rFonts w:hint="eastAsia"/>
                <w:lang w:val="en-US" w:eastAsia="zh-CN"/>
              </w:rPr>
              <w:t>有效管控</w:t>
            </w:r>
          </w:p>
        </w:tc>
        <w:tc>
          <w:tcPr>
            <w:tcW w:w="1136" w:type="dxa"/>
            <w:noWrap/>
            <w:tcMar>
              <w:top w:w="15" w:type="dxa"/>
              <w:left w:w="15" w:type="dxa"/>
              <w:right w:w="15" w:type="dxa"/>
            </w:tcMar>
            <w:vAlign w:val="center"/>
          </w:tcPr>
          <w:p>
            <w:pPr>
              <w:pStyle w:val="25"/>
              <w:bidi w:val="0"/>
              <w:rPr>
                <w:rFonts w:hint="eastAsia"/>
                <w:lang w:val="en-US" w:eastAsia="zh-CN"/>
              </w:rPr>
            </w:pPr>
            <w:r>
              <w:rPr>
                <w:rFonts w:hint="eastAsia"/>
                <w:lang w:val="en-US" w:eastAsia="zh-CN"/>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1" w:hRule="atLeast"/>
          <w:jc w:val="center"/>
        </w:trPr>
        <w:tc>
          <w:tcPr>
            <w:tcW w:w="1421" w:type="dxa"/>
            <w:noWrap/>
            <w:tcMar>
              <w:top w:w="15" w:type="dxa"/>
              <w:left w:w="15" w:type="dxa"/>
              <w:right w:w="15" w:type="dxa"/>
            </w:tcMar>
            <w:vAlign w:val="center"/>
          </w:tcPr>
          <w:p>
            <w:pPr>
              <w:pStyle w:val="25"/>
              <w:bidi w:val="0"/>
            </w:pPr>
            <w:r>
              <w:rPr>
                <w:rFonts w:hint="eastAsia"/>
                <w:lang w:val="en-US" w:eastAsia="zh-CN"/>
              </w:rPr>
              <w:t>爱国村</w:t>
            </w:r>
          </w:p>
        </w:tc>
        <w:tc>
          <w:tcPr>
            <w:tcW w:w="1420" w:type="dxa"/>
            <w:noWrap w:val="0"/>
            <w:vAlign w:val="center"/>
          </w:tcPr>
          <w:p>
            <w:pPr>
              <w:pStyle w:val="25"/>
              <w:bidi w:val="0"/>
              <w:rPr>
                <w:rFonts w:hint="eastAsia"/>
                <w:lang w:val="en-US" w:eastAsia="zh-CN"/>
              </w:rPr>
            </w:pPr>
            <w:r>
              <w:rPr>
                <w:rFonts w:hint="eastAsia"/>
                <w:lang w:val="en-US" w:eastAsia="zh-CN"/>
              </w:rPr>
              <w:t>2队</w:t>
            </w:r>
          </w:p>
        </w:tc>
        <w:tc>
          <w:tcPr>
            <w:tcW w:w="2538" w:type="dxa"/>
            <w:noWrap w:val="0"/>
            <w:vAlign w:val="center"/>
          </w:tcPr>
          <w:p>
            <w:pPr>
              <w:pStyle w:val="25"/>
              <w:bidi w:val="0"/>
              <w:rPr>
                <w:rFonts w:hint="eastAsia"/>
                <w:lang w:val="en-US" w:eastAsia="zh-CN"/>
              </w:rPr>
            </w:pPr>
            <w:r>
              <w:rPr>
                <w:rFonts w:hint="eastAsia"/>
                <w:lang w:val="en-US" w:eastAsia="zh-CN"/>
              </w:rPr>
              <w:t>-</w:t>
            </w:r>
          </w:p>
        </w:tc>
        <w:tc>
          <w:tcPr>
            <w:tcW w:w="2212" w:type="dxa"/>
            <w:noWrap/>
            <w:tcMar>
              <w:top w:w="15" w:type="dxa"/>
              <w:left w:w="15" w:type="dxa"/>
              <w:right w:w="15" w:type="dxa"/>
            </w:tcMar>
            <w:vAlign w:val="center"/>
          </w:tcPr>
          <w:p>
            <w:pPr>
              <w:bidi w:val="0"/>
              <w:jc w:val="center"/>
              <w:rPr>
                <w:rFonts w:hint="eastAsia"/>
                <w:lang w:val="en-US" w:eastAsia="zh-CN"/>
              </w:rPr>
            </w:pPr>
            <w:r>
              <w:rPr>
                <w:rFonts w:hint="eastAsia"/>
                <w:lang w:val="en-US" w:eastAsia="zh-CN"/>
              </w:rPr>
              <w:t>-</w:t>
            </w:r>
          </w:p>
        </w:tc>
        <w:tc>
          <w:tcPr>
            <w:tcW w:w="1579" w:type="dxa"/>
            <w:noWrap/>
            <w:tcMar>
              <w:top w:w="15" w:type="dxa"/>
              <w:left w:w="15" w:type="dxa"/>
              <w:right w:w="15" w:type="dxa"/>
            </w:tcMar>
            <w:vAlign w:val="center"/>
          </w:tcPr>
          <w:p>
            <w:pPr>
              <w:pStyle w:val="25"/>
              <w:bidi w:val="0"/>
              <w:rPr>
                <w:rFonts w:hint="eastAsia"/>
                <w:lang w:val="en-US" w:eastAsia="zh-CN"/>
              </w:rPr>
            </w:pPr>
            <w:r>
              <w:rPr>
                <w:rFonts w:hint="eastAsia"/>
                <w:lang w:val="en-US" w:eastAsia="zh-CN"/>
              </w:rPr>
              <w:t>有效管控</w:t>
            </w:r>
          </w:p>
        </w:tc>
        <w:tc>
          <w:tcPr>
            <w:tcW w:w="1136" w:type="dxa"/>
            <w:noWrap/>
            <w:tcMar>
              <w:top w:w="15" w:type="dxa"/>
              <w:left w:w="15" w:type="dxa"/>
              <w:right w:w="15" w:type="dxa"/>
            </w:tcMar>
            <w:vAlign w:val="center"/>
          </w:tcPr>
          <w:p>
            <w:pPr>
              <w:pStyle w:val="25"/>
              <w:bidi w:val="0"/>
              <w:rPr>
                <w:rFonts w:hint="eastAsia"/>
                <w:lang w:val="en-US" w:eastAsia="zh-CN"/>
              </w:rPr>
            </w:pPr>
            <w:r>
              <w:rPr>
                <w:rFonts w:hint="eastAsia"/>
                <w:lang w:val="en-US" w:eastAsia="zh-CN"/>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1421" w:type="dxa"/>
            <w:noWrap/>
            <w:tcMar>
              <w:top w:w="15" w:type="dxa"/>
              <w:left w:w="15" w:type="dxa"/>
              <w:right w:w="15" w:type="dxa"/>
            </w:tcMar>
            <w:vAlign w:val="center"/>
          </w:tcPr>
          <w:p>
            <w:pPr>
              <w:pStyle w:val="25"/>
              <w:bidi w:val="0"/>
            </w:pPr>
            <w:r>
              <w:rPr>
                <w:rFonts w:hint="eastAsia"/>
                <w:lang w:val="en-US" w:eastAsia="zh-CN"/>
              </w:rPr>
              <w:t>曙光村</w:t>
            </w:r>
          </w:p>
        </w:tc>
        <w:tc>
          <w:tcPr>
            <w:tcW w:w="1420" w:type="dxa"/>
            <w:noWrap w:val="0"/>
            <w:vAlign w:val="center"/>
          </w:tcPr>
          <w:p>
            <w:pPr>
              <w:pStyle w:val="25"/>
              <w:bidi w:val="0"/>
              <w:rPr>
                <w:rFonts w:hint="eastAsia"/>
                <w:lang w:val="en-US" w:eastAsia="zh-CN"/>
              </w:rPr>
            </w:pPr>
            <w:r>
              <w:rPr>
                <w:rFonts w:hint="eastAsia"/>
                <w:lang w:val="en-US" w:eastAsia="zh-CN"/>
              </w:rPr>
              <w:t>1队</w:t>
            </w:r>
          </w:p>
        </w:tc>
        <w:tc>
          <w:tcPr>
            <w:tcW w:w="2538" w:type="dxa"/>
            <w:noWrap w:val="0"/>
            <w:vAlign w:val="center"/>
          </w:tcPr>
          <w:p>
            <w:pPr>
              <w:bidi w:val="0"/>
              <w:jc w:val="center"/>
              <w:rPr>
                <w:rFonts w:hint="default"/>
                <w:sz w:val="24"/>
                <w:szCs w:val="24"/>
                <w:lang w:val="en-US" w:eastAsia="zh-CN"/>
              </w:rPr>
            </w:pPr>
            <w:r>
              <w:rPr>
                <w:rFonts w:hint="eastAsia"/>
                <w:sz w:val="24"/>
                <w:szCs w:val="24"/>
                <w:lang w:val="en-US" w:eastAsia="zh-CN"/>
              </w:rPr>
              <w:t>-</w:t>
            </w:r>
          </w:p>
        </w:tc>
        <w:tc>
          <w:tcPr>
            <w:tcW w:w="2212" w:type="dxa"/>
            <w:noWrap/>
            <w:tcMar>
              <w:top w:w="15" w:type="dxa"/>
              <w:left w:w="15" w:type="dxa"/>
              <w:right w:w="15" w:type="dxa"/>
            </w:tcMar>
            <w:vAlign w:val="center"/>
          </w:tcPr>
          <w:p>
            <w:pPr>
              <w:bidi w:val="0"/>
              <w:jc w:val="center"/>
              <w:rPr>
                <w:rFonts w:hint="eastAsia"/>
                <w:sz w:val="24"/>
                <w:szCs w:val="24"/>
                <w:lang w:val="en-US" w:eastAsia="zh-CN"/>
              </w:rPr>
            </w:pPr>
            <w:r>
              <w:rPr>
                <w:rFonts w:hint="eastAsia"/>
                <w:sz w:val="24"/>
                <w:szCs w:val="24"/>
                <w:lang w:val="en-US" w:eastAsia="zh-CN"/>
              </w:rPr>
              <w:t>-</w:t>
            </w:r>
          </w:p>
        </w:tc>
        <w:tc>
          <w:tcPr>
            <w:tcW w:w="1579" w:type="dxa"/>
            <w:noWrap/>
            <w:tcMar>
              <w:top w:w="15" w:type="dxa"/>
              <w:left w:w="15" w:type="dxa"/>
              <w:right w:w="15" w:type="dxa"/>
            </w:tcMar>
            <w:vAlign w:val="center"/>
          </w:tcPr>
          <w:p>
            <w:pPr>
              <w:bidi w:val="0"/>
              <w:jc w:val="center"/>
              <w:rPr>
                <w:rFonts w:hint="default"/>
                <w:sz w:val="24"/>
                <w:szCs w:val="22"/>
                <w:lang w:val="en-US" w:eastAsia="zh-CN"/>
              </w:rPr>
            </w:pPr>
            <w:r>
              <w:rPr>
                <w:rFonts w:hint="eastAsia"/>
                <w:sz w:val="24"/>
                <w:szCs w:val="22"/>
                <w:lang w:val="en-US" w:eastAsia="zh-CN"/>
              </w:rPr>
              <w:t>有效管控</w:t>
            </w:r>
          </w:p>
        </w:tc>
        <w:tc>
          <w:tcPr>
            <w:tcW w:w="1136" w:type="dxa"/>
            <w:noWrap/>
            <w:tcMar>
              <w:top w:w="15" w:type="dxa"/>
              <w:left w:w="15" w:type="dxa"/>
              <w:right w:w="15" w:type="dxa"/>
            </w:tcMar>
            <w:vAlign w:val="center"/>
          </w:tcPr>
          <w:p>
            <w:pPr>
              <w:pStyle w:val="25"/>
              <w:bidi w:val="0"/>
              <w:rPr>
                <w:rFonts w:hint="default"/>
                <w:lang w:val="en-US" w:eastAsia="zh-CN"/>
              </w:rPr>
            </w:pPr>
            <w:r>
              <w:rPr>
                <w:rFonts w:hint="eastAsia"/>
                <w:lang w:val="en-US" w:eastAsia="zh-CN"/>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1421" w:type="dxa"/>
            <w:noWrap/>
            <w:tcMar>
              <w:top w:w="15" w:type="dxa"/>
              <w:left w:w="15" w:type="dxa"/>
              <w:right w:w="15" w:type="dxa"/>
            </w:tcMar>
            <w:vAlign w:val="center"/>
          </w:tcPr>
          <w:p>
            <w:pPr>
              <w:pStyle w:val="25"/>
              <w:bidi w:val="0"/>
              <w:rPr>
                <w:rFonts w:hint="eastAsia"/>
              </w:rPr>
            </w:pPr>
            <w:r>
              <w:rPr>
                <w:rFonts w:hint="eastAsia"/>
                <w:lang w:val="en-US" w:eastAsia="zh-CN"/>
              </w:rPr>
              <w:t>曙光村</w:t>
            </w:r>
          </w:p>
        </w:tc>
        <w:tc>
          <w:tcPr>
            <w:tcW w:w="1420" w:type="dxa"/>
            <w:noWrap w:val="0"/>
            <w:vAlign w:val="center"/>
          </w:tcPr>
          <w:p>
            <w:pPr>
              <w:pStyle w:val="25"/>
              <w:bidi w:val="0"/>
              <w:rPr>
                <w:rFonts w:hint="eastAsia"/>
                <w:lang w:val="en-US" w:eastAsia="zh-CN"/>
              </w:rPr>
            </w:pPr>
            <w:r>
              <w:rPr>
                <w:rFonts w:hint="eastAsia"/>
                <w:lang w:val="en-US" w:eastAsia="zh-CN"/>
              </w:rPr>
              <w:t>2队</w:t>
            </w:r>
          </w:p>
        </w:tc>
        <w:tc>
          <w:tcPr>
            <w:tcW w:w="2538" w:type="dxa"/>
            <w:noWrap w:val="0"/>
            <w:vAlign w:val="center"/>
          </w:tcPr>
          <w:p>
            <w:pPr>
              <w:bidi w:val="0"/>
              <w:jc w:val="center"/>
              <w:rPr>
                <w:rFonts w:hint="eastAsia"/>
                <w:sz w:val="24"/>
                <w:szCs w:val="24"/>
                <w:lang w:val="en-US" w:eastAsia="zh-CN"/>
              </w:rPr>
            </w:pPr>
            <w:r>
              <w:rPr>
                <w:rFonts w:hint="eastAsia"/>
                <w:sz w:val="24"/>
                <w:szCs w:val="24"/>
                <w:lang w:val="en-US" w:eastAsia="zh-CN"/>
              </w:rPr>
              <w:t>-</w:t>
            </w:r>
          </w:p>
        </w:tc>
        <w:tc>
          <w:tcPr>
            <w:tcW w:w="2212" w:type="dxa"/>
            <w:noWrap/>
            <w:tcMar>
              <w:top w:w="15" w:type="dxa"/>
              <w:left w:w="15" w:type="dxa"/>
              <w:right w:w="15" w:type="dxa"/>
            </w:tcMar>
            <w:vAlign w:val="center"/>
          </w:tcPr>
          <w:p>
            <w:pPr>
              <w:bidi w:val="0"/>
              <w:jc w:val="center"/>
              <w:rPr>
                <w:rFonts w:hint="eastAsia"/>
                <w:sz w:val="24"/>
                <w:szCs w:val="24"/>
                <w:lang w:val="en-US" w:eastAsia="zh-CN"/>
              </w:rPr>
            </w:pPr>
            <w:r>
              <w:rPr>
                <w:rFonts w:hint="eastAsia"/>
                <w:sz w:val="24"/>
                <w:szCs w:val="24"/>
                <w:lang w:val="en-US" w:eastAsia="zh-CN"/>
              </w:rPr>
              <w:t>-</w:t>
            </w:r>
          </w:p>
        </w:tc>
        <w:tc>
          <w:tcPr>
            <w:tcW w:w="1579" w:type="dxa"/>
            <w:noWrap/>
            <w:tcMar>
              <w:top w:w="15" w:type="dxa"/>
              <w:left w:w="15" w:type="dxa"/>
              <w:right w:w="15" w:type="dxa"/>
            </w:tcMar>
            <w:vAlign w:val="center"/>
          </w:tcPr>
          <w:p>
            <w:pPr>
              <w:bidi w:val="0"/>
              <w:jc w:val="center"/>
              <w:rPr>
                <w:rFonts w:hint="eastAsia"/>
                <w:sz w:val="24"/>
                <w:szCs w:val="22"/>
                <w:lang w:val="en-US" w:eastAsia="zh-CN"/>
              </w:rPr>
            </w:pPr>
            <w:r>
              <w:rPr>
                <w:rFonts w:hint="eastAsia"/>
                <w:sz w:val="24"/>
                <w:szCs w:val="22"/>
                <w:lang w:val="en-US" w:eastAsia="zh-CN"/>
              </w:rPr>
              <w:t>有效管控</w:t>
            </w:r>
          </w:p>
        </w:tc>
        <w:tc>
          <w:tcPr>
            <w:tcW w:w="1136" w:type="dxa"/>
            <w:noWrap/>
            <w:tcMar>
              <w:top w:w="15" w:type="dxa"/>
              <w:left w:w="15" w:type="dxa"/>
              <w:right w:w="15" w:type="dxa"/>
            </w:tcMar>
            <w:vAlign w:val="center"/>
          </w:tcPr>
          <w:p>
            <w:pPr>
              <w:pStyle w:val="25"/>
              <w:bidi w:val="0"/>
              <w:rPr>
                <w:rFonts w:hint="default"/>
                <w:lang w:val="en-US" w:eastAsia="zh-CN"/>
              </w:rPr>
            </w:pPr>
            <w:r>
              <w:rPr>
                <w:rFonts w:hint="eastAsia"/>
                <w:lang w:val="en-US" w:eastAsia="zh-CN"/>
              </w:rPr>
              <w:t>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1421" w:type="dxa"/>
            <w:noWrap/>
            <w:tcMar>
              <w:top w:w="15" w:type="dxa"/>
              <w:left w:w="15" w:type="dxa"/>
              <w:right w:w="15" w:type="dxa"/>
            </w:tcMar>
            <w:vAlign w:val="center"/>
          </w:tcPr>
          <w:p>
            <w:pPr>
              <w:pStyle w:val="25"/>
              <w:bidi w:val="0"/>
              <w:rPr>
                <w:rFonts w:hint="eastAsia"/>
              </w:rPr>
            </w:pPr>
            <w:r>
              <w:rPr>
                <w:rFonts w:hint="eastAsia"/>
                <w:lang w:val="en-US" w:eastAsia="zh-CN"/>
              </w:rPr>
              <w:t>曙光村</w:t>
            </w:r>
          </w:p>
        </w:tc>
        <w:tc>
          <w:tcPr>
            <w:tcW w:w="1420" w:type="dxa"/>
            <w:noWrap w:val="0"/>
            <w:vAlign w:val="center"/>
          </w:tcPr>
          <w:p>
            <w:pPr>
              <w:pStyle w:val="25"/>
              <w:bidi w:val="0"/>
              <w:rPr>
                <w:rFonts w:hint="eastAsia"/>
                <w:lang w:val="en-US" w:eastAsia="zh-CN"/>
              </w:rPr>
            </w:pPr>
            <w:r>
              <w:rPr>
                <w:rFonts w:hint="eastAsia"/>
                <w:lang w:val="en-US" w:eastAsia="zh-CN"/>
              </w:rPr>
              <w:t>3队</w:t>
            </w:r>
          </w:p>
        </w:tc>
        <w:tc>
          <w:tcPr>
            <w:tcW w:w="2538" w:type="dxa"/>
            <w:noWrap w:val="0"/>
            <w:vAlign w:val="center"/>
          </w:tcPr>
          <w:p>
            <w:pPr>
              <w:bidi w:val="0"/>
              <w:jc w:val="center"/>
              <w:rPr>
                <w:rFonts w:hint="default"/>
                <w:sz w:val="24"/>
                <w:szCs w:val="24"/>
                <w:lang w:val="en-US" w:eastAsia="zh-CN"/>
              </w:rPr>
            </w:pPr>
            <w:r>
              <w:rPr>
                <w:rFonts w:hint="eastAsia"/>
                <w:sz w:val="24"/>
                <w:szCs w:val="24"/>
                <w:lang w:val="en-US" w:eastAsia="zh-CN"/>
              </w:rPr>
              <w:t>-</w:t>
            </w:r>
          </w:p>
        </w:tc>
        <w:tc>
          <w:tcPr>
            <w:tcW w:w="2212" w:type="dxa"/>
            <w:noWrap/>
            <w:tcMar>
              <w:top w:w="15" w:type="dxa"/>
              <w:left w:w="15" w:type="dxa"/>
              <w:right w:w="15" w:type="dxa"/>
            </w:tcMar>
            <w:vAlign w:val="center"/>
          </w:tcPr>
          <w:p>
            <w:pPr>
              <w:bidi w:val="0"/>
              <w:jc w:val="center"/>
              <w:rPr>
                <w:rFonts w:hint="eastAsia"/>
                <w:sz w:val="24"/>
                <w:szCs w:val="24"/>
                <w:lang w:val="en-US" w:eastAsia="zh-CN"/>
              </w:rPr>
            </w:pPr>
            <w:r>
              <w:rPr>
                <w:rFonts w:hint="eastAsia"/>
                <w:sz w:val="24"/>
                <w:szCs w:val="24"/>
                <w:lang w:val="en-US" w:eastAsia="zh-CN"/>
              </w:rPr>
              <w:t>-</w:t>
            </w:r>
          </w:p>
        </w:tc>
        <w:tc>
          <w:tcPr>
            <w:tcW w:w="1579" w:type="dxa"/>
            <w:noWrap/>
            <w:tcMar>
              <w:top w:w="15" w:type="dxa"/>
              <w:left w:w="15" w:type="dxa"/>
              <w:right w:w="15" w:type="dxa"/>
            </w:tcMar>
            <w:vAlign w:val="center"/>
          </w:tcPr>
          <w:p>
            <w:pPr>
              <w:bidi w:val="0"/>
              <w:jc w:val="center"/>
              <w:rPr>
                <w:rFonts w:hint="eastAsia"/>
                <w:sz w:val="24"/>
                <w:szCs w:val="22"/>
                <w:lang w:val="en-US" w:eastAsia="zh-CN"/>
              </w:rPr>
            </w:pPr>
            <w:r>
              <w:rPr>
                <w:rFonts w:hint="eastAsia"/>
                <w:sz w:val="24"/>
                <w:szCs w:val="22"/>
                <w:lang w:val="en-US" w:eastAsia="zh-CN"/>
              </w:rPr>
              <w:t>有效管控</w:t>
            </w:r>
          </w:p>
        </w:tc>
        <w:tc>
          <w:tcPr>
            <w:tcW w:w="1136" w:type="dxa"/>
            <w:noWrap/>
            <w:tcMar>
              <w:top w:w="15" w:type="dxa"/>
              <w:left w:w="15" w:type="dxa"/>
              <w:right w:w="15" w:type="dxa"/>
            </w:tcMar>
            <w:vAlign w:val="center"/>
          </w:tcPr>
          <w:p>
            <w:pPr>
              <w:pStyle w:val="25"/>
              <w:bidi w:val="0"/>
              <w:rPr>
                <w:rFonts w:hint="default"/>
                <w:lang w:val="en-US" w:eastAsia="zh-CN"/>
              </w:rPr>
            </w:pPr>
            <w:r>
              <w:rPr>
                <w:rFonts w:hint="eastAsia"/>
                <w:lang w:val="en-US" w:eastAsia="zh-CN"/>
              </w:rPr>
              <w:t>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1421" w:type="dxa"/>
            <w:noWrap/>
            <w:tcMar>
              <w:top w:w="15" w:type="dxa"/>
              <w:left w:w="15" w:type="dxa"/>
              <w:right w:w="15" w:type="dxa"/>
            </w:tcMar>
            <w:vAlign w:val="center"/>
          </w:tcPr>
          <w:p>
            <w:pPr>
              <w:pStyle w:val="25"/>
              <w:bidi w:val="0"/>
              <w:rPr>
                <w:rFonts w:hint="eastAsia"/>
              </w:rPr>
            </w:pPr>
            <w:r>
              <w:rPr>
                <w:rFonts w:hint="eastAsia"/>
                <w:lang w:val="en-US" w:eastAsia="zh-CN"/>
              </w:rPr>
              <w:t>曙光村</w:t>
            </w:r>
          </w:p>
        </w:tc>
        <w:tc>
          <w:tcPr>
            <w:tcW w:w="1420" w:type="dxa"/>
            <w:noWrap w:val="0"/>
            <w:vAlign w:val="center"/>
          </w:tcPr>
          <w:p>
            <w:pPr>
              <w:pStyle w:val="25"/>
              <w:bidi w:val="0"/>
              <w:rPr>
                <w:rFonts w:hint="eastAsia"/>
                <w:lang w:val="en-US" w:eastAsia="zh-CN"/>
              </w:rPr>
            </w:pPr>
            <w:r>
              <w:rPr>
                <w:rFonts w:hint="eastAsia"/>
                <w:lang w:val="en-US" w:eastAsia="zh-CN"/>
              </w:rPr>
              <w:t>4队</w:t>
            </w:r>
          </w:p>
        </w:tc>
        <w:tc>
          <w:tcPr>
            <w:tcW w:w="2538" w:type="dxa"/>
            <w:noWrap w:val="0"/>
            <w:vAlign w:val="center"/>
          </w:tcPr>
          <w:p>
            <w:pPr>
              <w:bidi w:val="0"/>
              <w:jc w:val="center"/>
              <w:rPr>
                <w:rFonts w:hint="eastAsia"/>
                <w:sz w:val="24"/>
                <w:szCs w:val="24"/>
                <w:lang w:val="en-US" w:eastAsia="zh-CN"/>
              </w:rPr>
            </w:pPr>
            <w:r>
              <w:rPr>
                <w:rFonts w:hint="eastAsia"/>
                <w:sz w:val="24"/>
                <w:szCs w:val="24"/>
                <w:lang w:val="en-US" w:eastAsia="zh-CN"/>
              </w:rPr>
              <w:t>-</w:t>
            </w:r>
          </w:p>
        </w:tc>
        <w:tc>
          <w:tcPr>
            <w:tcW w:w="2212" w:type="dxa"/>
            <w:noWrap/>
            <w:tcMar>
              <w:top w:w="15" w:type="dxa"/>
              <w:left w:w="15" w:type="dxa"/>
              <w:right w:w="15" w:type="dxa"/>
            </w:tcMar>
            <w:vAlign w:val="center"/>
          </w:tcPr>
          <w:p>
            <w:pPr>
              <w:bidi w:val="0"/>
              <w:jc w:val="center"/>
              <w:rPr>
                <w:rFonts w:hint="eastAsia"/>
                <w:sz w:val="24"/>
                <w:szCs w:val="24"/>
                <w:lang w:val="en-US" w:eastAsia="zh-CN"/>
              </w:rPr>
            </w:pPr>
            <w:r>
              <w:rPr>
                <w:rFonts w:hint="eastAsia"/>
                <w:sz w:val="24"/>
                <w:szCs w:val="24"/>
                <w:lang w:val="en-US" w:eastAsia="zh-CN"/>
              </w:rPr>
              <w:t>-</w:t>
            </w:r>
          </w:p>
        </w:tc>
        <w:tc>
          <w:tcPr>
            <w:tcW w:w="1579" w:type="dxa"/>
            <w:noWrap/>
            <w:tcMar>
              <w:top w:w="15" w:type="dxa"/>
              <w:left w:w="15" w:type="dxa"/>
              <w:right w:w="15" w:type="dxa"/>
            </w:tcMar>
            <w:vAlign w:val="center"/>
          </w:tcPr>
          <w:p>
            <w:pPr>
              <w:bidi w:val="0"/>
              <w:jc w:val="center"/>
              <w:rPr>
                <w:rFonts w:hint="eastAsia"/>
                <w:sz w:val="24"/>
                <w:szCs w:val="22"/>
                <w:lang w:val="en-US" w:eastAsia="zh-CN"/>
              </w:rPr>
            </w:pPr>
            <w:r>
              <w:rPr>
                <w:rFonts w:hint="eastAsia"/>
                <w:sz w:val="24"/>
                <w:szCs w:val="22"/>
                <w:lang w:val="en-US" w:eastAsia="zh-CN"/>
              </w:rPr>
              <w:t>有效管控</w:t>
            </w:r>
          </w:p>
        </w:tc>
        <w:tc>
          <w:tcPr>
            <w:tcW w:w="1136" w:type="dxa"/>
            <w:noWrap/>
            <w:tcMar>
              <w:top w:w="15" w:type="dxa"/>
              <w:left w:w="15" w:type="dxa"/>
              <w:right w:w="15" w:type="dxa"/>
            </w:tcMar>
            <w:vAlign w:val="center"/>
          </w:tcPr>
          <w:p>
            <w:pPr>
              <w:pStyle w:val="25"/>
              <w:bidi w:val="0"/>
              <w:rPr>
                <w:rFonts w:hint="default"/>
                <w:lang w:val="en-US" w:eastAsia="zh-CN"/>
              </w:rPr>
            </w:pPr>
            <w:r>
              <w:rPr>
                <w:rFonts w:hint="eastAsia"/>
                <w:lang w:val="en-US" w:eastAsia="zh-CN"/>
              </w:rPr>
              <w:t>2023</w:t>
            </w:r>
          </w:p>
        </w:tc>
      </w:tr>
    </w:tbl>
    <w:p>
      <w:pPr>
        <w:pStyle w:val="4"/>
        <w:spacing w:before="480" w:after="240"/>
      </w:pPr>
      <w:bookmarkStart w:id="229" w:name="_Toc7705"/>
      <w:bookmarkStart w:id="230" w:name="_Toc21625"/>
      <w:bookmarkStart w:id="231" w:name="_Toc971_WPSOffice_Level1"/>
      <w:bookmarkStart w:id="232" w:name="_Toc6059"/>
      <w:bookmarkStart w:id="233" w:name="_Toc24416_WPSOffice_Level1"/>
      <w:bookmarkStart w:id="234" w:name="_Toc1157"/>
      <w:bookmarkStart w:id="235" w:name="_Toc28185"/>
      <w:bookmarkStart w:id="236" w:name="_Toc30534"/>
      <w:bookmarkStart w:id="237" w:name="_Toc29601"/>
      <w:r>
        <w:rPr>
          <w:rFonts w:hint="eastAsia"/>
        </w:rPr>
        <w:t>第七章 投资估算</w:t>
      </w:r>
      <w:bookmarkEnd w:id="229"/>
      <w:bookmarkEnd w:id="230"/>
      <w:bookmarkEnd w:id="231"/>
      <w:bookmarkEnd w:id="232"/>
      <w:bookmarkEnd w:id="233"/>
      <w:bookmarkEnd w:id="234"/>
      <w:bookmarkEnd w:id="235"/>
      <w:bookmarkEnd w:id="236"/>
      <w:bookmarkEnd w:id="237"/>
    </w:p>
    <w:p>
      <w:pPr>
        <w:pStyle w:val="225"/>
        <w:keepNext/>
        <w:keepLines/>
        <w:shd w:val="clear" w:color="auto" w:fill="auto"/>
        <w:spacing w:before="0" w:line="360" w:lineRule="auto"/>
        <w:jc w:val="left"/>
        <w:outlineLvl w:val="1"/>
        <w:rPr>
          <w:rFonts w:hint="eastAsia" w:ascii="Times New Roman" w:hAnsi="Times New Roman" w:eastAsia="宋体" w:cs="Times New Roman"/>
          <w:color w:val="000000"/>
          <w:sz w:val="30"/>
          <w:szCs w:val="30"/>
          <w:lang w:val="zh-CN" w:eastAsia="zh-CN" w:bidi="en-US"/>
        </w:rPr>
      </w:pPr>
      <w:bookmarkStart w:id="238" w:name="_Toc11539_WPSOffice_Level3"/>
      <w:bookmarkStart w:id="239" w:name="bookmark62"/>
      <w:bookmarkStart w:id="240" w:name="_Toc8885_WPSOffice_Level2"/>
      <w:bookmarkStart w:id="241" w:name="_Toc23230"/>
      <w:bookmarkStart w:id="242" w:name="_Toc27690"/>
      <w:bookmarkStart w:id="243" w:name="_Toc6848"/>
      <w:bookmarkStart w:id="244" w:name="_Toc745"/>
      <w:bookmarkStart w:id="245" w:name="_Toc23877"/>
      <w:bookmarkStart w:id="246" w:name="_Toc30923"/>
      <w:r>
        <w:rPr>
          <w:rFonts w:hint="eastAsia" w:ascii="Times New Roman" w:hAnsi="Times New Roman" w:eastAsia="宋体" w:cs="Times New Roman"/>
          <w:color w:val="000000"/>
          <w:sz w:val="30"/>
          <w:szCs w:val="30"/>
          <w:lang w:bidi="en-US"/>
        </w:rPr>
        <w:t>7</w:t>
      </w:r>
      <w:r>
        <w:rPr>
          <w:rStyle w:val="61"/>
          <w:rFonts w:hint="eastAsia"/>
          <w:b/>
        </w:rPr>
        <w:t>.1</w:t>
      </w:r>
      <w:bookmarkEnd w:id="238"/>
      <w:bookmarkEnd w:id="239"/>
      <w:bookmarkEnd w:id="240"/>
      <w:bookmarkEnd w:id="241"/>
      <w:r>
        <w:rPr>
          <w:rStyle w:val="61"/>
          <w:rFonts w:hint="eastAsia" w:eastAsia="宋体"/>
          <w:b/>
          <w:lang w:val="en-US" w:eastAsia="zh-CN"/>
        </w:rPr>
        <w:t>编制依据</w:t>
      </w:r>
      <w:bookmarkEnd w:id="242"/>
      <w:bookmarkEnd w:id="243"/>
      <w:bookmarkEnd w:id="244"/>
      <w:bookmarkEnd w:id="245"/>
      <w:bookmarkEnd w:id="246"/>
    </w:p>
    <w:p>
      <w:pPr>
        <w:pStyle w:val="2"/>
        <w:bidi w:val="0"/>
        <w:rPr>
          <w:rFonts w:hint="default"/>
        </w:rPr>
      </w:pPr>
      <w:bookmarkStart w:id="247" w:name="bookmark63"/>
      <w:r>
        <w:rPr>
          <w:rFonts w:hint="default"/>
        </w:rPr>
        <w:t>1.《市政工程投资估算编制办法》（建标[2007]164号）；</w:t>
      </w:r>
    </w:p>
    <w:p>
      <w:pPr>
        <w:pStyle w:val="2"/>
        <w:bidi w:val="0"/>
        <w:rPr>
          <w:rFonts w:hint="default"/>
        </w:rPr>
      </w:pPr>
      <w:r>
        <w:rPr>
          <w:rFonts w:hint="default"/>
        </w:rPr>
        <w:t>2.黑龙江省建设厅《黑龙江省建设工程计价依据（建筑工程计价定额）》(HLJD-JZ-201</w:t>
      </w:r>
      <w:r>
        <w:rPr>
          <w:rFonts w:hint="eastAsia"/>
          <w:lang w:val="en-US" w:eastAsia="zh-CN"/>
        </w:rPr>
        <w:t>9</w:t>
      </w:r>
      <w:r>
        <w:rPr>
          <w:rFonts w:hint="default"/>
        </w:rPr>
        <w:t>)；</w:t>
      </w:r>
    </w:p>
    <w:p>
      <w:pPr>
        <w:pStyle w:val="2"/>
        <w:bidi w:val="0"/>
        <w:rPr>
          <w:rFonts w:hint="default"/>
        </w:rPr>
      </w:pPr>
      <w:r>
        <w:rPr>
          <w:rFonts w:hint="default"/>
        </w:rPr>
        <w:t>3.中国建设工程造价管理协会《建设项目投资估算编审规程》（CECA/GC1-2007）；</w:t>
      </w:r>
    </w:p>
    <w:p>
      <w:pPr>
        <w:pStyle w:val="2"/>
        <w:bidi w:val="0"/>
        <w:rPr>
          <w:rFonts w:hint="default"/>
        </w:rPr>
      </w:pPr>
      <w:r>
        <w:rPr>
          <w:rFonts w:hint="default"/>
        </w:rPr>
        <w:t>4.国家计委、建设部《建设项目前期工作咨询收费暂行规定》（计价格[1999]1283号）；</w:t>
      </w:r>
    </w:p>
    <w:p>
      <w:pPr>
        <w:pStyle w:val="2"/>
        <w:bidi w:val="0"/>
        <w:rPr>
          <w:rFonts w:hint="default"/>
        </w:rPr>
      </w:pPr>
      <w:r>
        <w:rPr>
          <w:rFonts w:hint="default"/>
        </w:rPr>
        <w:t>5.国家计委、环保总局《关于规范环境影响咨询收费有关问题的通知》（计价格[2002]125号）；</w:t>
      </w:r>
    </w:p>
    <w:p>
      <w:pPr>
        <w:pStyle w:val="2"/>
        <w:bidi w:val="0"/>
        <w:rPr>
          <w:rFonts w:hint="default"/>
        </w:rPr>
      </w:pPr>
      <w:r>
        <w:rPr>
          <w:rFonts w:hint="default"/>
        </w:rPr>
        <w:t>6.国家计委、建设部《工程勘察设计收费管理规定》(计价格[2002]10号)；</w:t>
      </w:r>
    </w:p>
    <w:p>
      <w:pPr>
        <w:pStyle w:val="2"/>
        <w:bidi w:val="0"/>
        <w:rPr>
          <w:rFonts w:hint="default"/>
        </w:rPr>
      </w:pPr>
      <w:r>
        <w:rPr>
          <w:rFonts w:hint="default"/>
        </w:rPr>
        <w:t>7.国家计委《招标代理服务收费管理暂行办法》（计价格[2002]1980号）；</w:t>
      </w:r>
    </w:p>
    <w:p>
      <w:pPr>
        <w:pStyle w:val="2"/>
        <w:rPr>
          <w:rFonts w:hint="eastAsia"/>
          <w:lang w:val="en-US" w:eastAsia="zh-CN"/>
        </w:rPr>
      </w:pPr>
      <w:r>
        <w:rPr>
          <w:rFonts w:hint="eastAsia"/>
          <w:lang w:val="en-US" w:eastAsia="zh-CN"/>
        </w:rPr>
        <w:t>8.</w:t>
      </w:r>
      <w:r>
        <w:rPr>
          <w:rFonts w:hint="eastAsia"/>
          <w:lang w:eastAsia="zh-CN"/>
        </w:rPr>
        <w:t>《关于建筑工程施工图设计文件审查收费标准及有关问题的通知》（黑价经</w:t>
      </w:r>
      <w:r>
        <w:rPr>
          <w:rFonts w:hint="default"/>
        </w:rPr>
        <w:t>[</w:t>
      </w:r>
      <w:r>
        <w:rPr>
          <w:rFonts w:hint="eastAsia"/>
          <w:lang w:eastAsia="zh-CN"/>
        </w:rPr>
        <w:t>2012</w:t>
      </w:r>
      <w:r>
        <w:rPr>
          <w:rFonts w:hint="default"/>
        </w:rPr>
        <w:t>]</w:t>
      </w:r>
      <w:r>
        <w:rPr>
          <w:rFonts w:hint="eastAsia"/>
          <w:lang w:eastAsia="zh-CN"/>
        </w:rPr>
        <w:t>246号）</w:t>
      </w:r>
      <w:r>
        <w:rPr>
          <w:rFonts w:hint="eastAsia"/>
          <w:lang w:val="en-US" w:eastAsia="zh-CN"/>
        </w:rPr>
        <w:t>;</w:t>
      </w:r>
    </w:p>
    <w:p>
      <w:pPr>
        <w:pStyle w:val="2"/>
        <w:bidi w:val="0"/>
        <w:rPr>
          <w:rFonts w:hint="eastAsia"/>
          <w:lang w:val="en-US" w:eastAsia="zh-CN"/>
        </w:rPr>
      </w:pPr>
      <w:r>
        <w:rPr>
          <w:rFonts w:hint="eastAsia"/>
          <w:lang w:val="en-US" w:eastAsia="zh-CN"/>
        </w:rPr>
        <w:t>9.</w:t>
      </w:r>
      <w:r>
        <w:rPr>
          <w:rFonts w:hint="default"/>
          <w:lang w:val="en-US" w:eastAsia="zh-CN"/>
        </w:rPr>
        <w:t>关于印发《黑龙江省工程造价咨询服务收费管理办法》的通知</w:t>
      </w:r>
      <w:r>
        <w:rPr>
          <w:rFonts w:hint="eastAsia"/>
          <w:lang w:val="en-US" w:eastAsia="zh-CN"/>
        </w:rPr>
        <w:t>(</w:t>
      </w:r>
      <w:r>
        <w:rPr>
          <w:rFonts w:hint="default"/>
          <w:lang w:val="en-US" w:eastAsia="zh-CN"/>
        </w:rPr>
        <w:t>黑价联［2013］39号</w:t>
      </w:r>
      <w:r>
        <w:rPr>
          <w:rFonts w:hint="eastAsia"/>
          <w:lang w:val="en-US" w:eastAsia="zh-CN"/>
        </w:rPr>
        <w:t>)</w:t>
      </w:r>
    </w:p>
    <w:p>
      <w:pPr>
        <w:pStyle w:val="2"/>
        <w:bidi w:val="0"/>
        <w:rPr>
          <w:rFonts w:hint="eastAsia"/>
          <w:lang w:val="en-US" w:eastAsia="zh-CN"/>
        </w:rPr>
      </w:pPr>
      <w:r>
        <w:rPr>
          <w:rFonts w:hint="eastAsia"/>
          <w:lang w:val="en-US" w:eastAsia="zh-CN"/>
        </w:rPr>
        <w:t>10.</w:t>
      </w:r>
      <w:r>
        <w:rPr>
          <w:rFonts w:hint="default"/>
          <w:lang w:val="en-US" w:eastAsia="zh-CN"/>
        </w:rPr>
        <w:t>关于印发《基本建设项目建设成本管理规定》的通知</w:t>
      </w:r>
      <w:r>
        <w:rPr>
          <w:rFonts w:hint="eastAsia"/>
          <w:lang w:val="en-US" w:eastAsia="zh-CN"/>
        </w:rPr>
        <w:t>(</w:t>
      </w:r>
      <w:r>
        <w:t>财建〔2016〕504号</w:t>
      </w:r>
      <w:r>
        <w:rPr>
          <w:rFonts w:hint="eastAsia"/>
          <w:lang w:val="en-US" w:eastAsia="zh-CN"/>
        </w:rPr>
        <w:t>)</w:t>
      </w:r>
    </w:p>
    <w:p>
      <w:pPr>
        <w:pStyle w:val="2"/>
        <w:bidi w:val="0"/>
        <w:rPr>
          <w:lang w:val="zh-CN"/>
        </w:rPr>
      </w:pPr>
      <w:r>
        <w:rPr>
          <w:rFonts w:hint="eastAsia"/>
          <w:lang w:val="en-US" w:eastAsia="zh-CN"/>
        </w:rPr>
        <w:t>11</w:t>
      </w:r>
      <w:r>
        <w:rPr>
          <w:rFonts w:hint="default"/>
        </w:rPr>
        <w:t>.确定的工程技术方案及项目所在地工程造价实际情况。</w:t>
      </w:r>
    </w:p>
    <w:p>
      <w:pPr>
        <w:pStyle w:val="7"/>
        <w:outlineLvl w:val="1"/>
        <w:rPr>
          <w:rFonts w:hint="default" w:eastAsia="宋体"/>
          <w:lang w:val="en-US" w:eastAsia="zh-CN"/>
        </w:rPr>
      </w:pPr>
      <w:bookmarkStart w:id="248" w:name="_Toc21722_WPSOffice_Level3"/>
      <w:bookmarkStart w:id="249" w:name="_Toc6440_WPSOffice_Level2"/>
      <w:bookmarkStart w:id="250" w:name="_Toc28672"/>
      <w:bookmarkStart w:id="251" w:name="_Toc2928"/>
      <w:bookmarkStart w:id="252" w:name="_Toc22911"/>
      <w:r>
        <w:rPr>
          <w:rFonts w:hint="eastAsia"/>
        </w:rPr>
        <w:t>7.2</w:t>
      </w:r>
      <w:bookmarkEnd w:id="247"/>
      <w:bookmarkEnd w:id="248"/>
      <w:bookmarkEnd w:id="249"/>
      <w:r>
        <w:rPr>
          <w:rFonts w:hint="eastAsia"/>
          <w:lang w:val="en-US" w:eastAsia="zh-CN"/>
        </w:rPr>
        <w:t>近期投资估算</w:t>
      </w:r>
      <w:bookmarkEnd w:id="250"/>
      <w:bookmarkEnd w:id="251"/>
      <w:bookmarkEnd w:id="252"/>
    </w:p>
    <w:p>
      <w:pPr>
        <w:pStyle w:val="2"/>
        <w:ind w:firstLine="560"/>
        <w:rPr>
          <w:rFonts w:hint="eastAsia"/>
        </w:rPr>
      </w:pPr>
      <w:r>
        <w:rPr>
          <w:rFonts w:hint="eastAsia"/>
        </w:rPr>
        <w:t>全</w:t>
      </w:r>
      <w:r>
        <w:rPr>
          <w:rFonts w:hint="eastAsia"/>
          <w:lang w:eastAsia="zh-CN"/>
        </w:rPr>
        <w:t>区</w:t>
      </w:r>
      <w:r>
        <w:rPr>
          <w:rFonts w:hint="eastAsia"/>
        </w:rPr>
        <w:t>近期</w:t>
      </w:r>
      <w:r>
        <w:rPr>
          <w:rFonts w:hint="eastAsia"/>
          <w:lang w:val="en-US" w:eastAsia="zh-CN"/>
        </w:rPr>
        <w:t>无建设项目</w:t>
      </w:r>
      <w:r>
        <w:rPr>
          <w:rFonts w:hint="eastAsia"/>
        </w:rPr>
        <w:t>。</w:t>
      </w:r>
    </w:p>
    <w:p>
      <w:pPr>
        <w:pStyle w:val="24"/>
        <w:rPr>
          <w:rFonts w:hint="eastAsia"/>
        </w:rPr>
      </w:pPr>
    </w:p>
    <w:p>
      <w:pPr>
        <w:pStyle w:val="24"/>
        <w:rPr>
          <w:rFonts w:hint="eastAsia"/>
        </w:rPr>
      </w:pPr>
    </w:p>
    <w:p>
      <w:pPr>
        <w:pStyle w:val="24"/>
        <w:rPr>
          <w:rFonts w:hint="eastAsia"/>
        </w:rPr>
      </w:pPr>
    </w:p>
    <w:p>
      <w:pPr>
        <w:rPr>
          <w:rFonts w:hint="eastAsia"/>
        </w:rPr>
      </w:pPr>
    </w:p>
    <w:p>
      <w:pPr>
        <w:pStyle w:val="4"/>
        <w:spacing w:before="480" w:after="240"/>
      </w:pPr>
      <w:bookmarkStart w:id="253" w:name="_Toc25904"/>
      <w:bookmarkStart w:id="254" w:name="_Toc12041"/>
      <w:bookmarkStart w:id="255" w:name="_Toc13513"/>
      <w:bookmarkStart w:id="256" w:name="_Toc26272"/>
      <w:bookmarkStart w:id="257" w:name="_Toc3824_WPSOffice_Level1"/>
      <w:bookmarkStart w:id="258" w:name="_Toc1609"/>
      <w:bookmarkStart w:id="259" w:name="_Toc15922_WPSOffice_Level1"/>
      <w:bookmarkStart w:id="260" w:name="_Toc27464"/>
      <w:bookmarkStart w:id="261" w:name="_Toc5988"/>
      <w:r>
        <w:rPr>
          <w:rFonts w:hint="eastAsia"/>
        </w:rPr>
        <w:t>第八章 运维管理</w:t>
      </w:r>
      <w:bookmarkEnd w:id="253"/>
      <w:bookmarkEnd w:id="254"/>
      <w:bookmarkEnd w:id="255"/>
      <w:bookmarkEnd w:id="256"/>
      <w:bookmarkEnd w:id="257"/>
      <w:bookmarkEnd w:id="258"/>
      <w:bookmarkEnd w:id="259"/>
      <w:bookmarkEnd w:id="260"/>
      <w:bookmarkEnd w:id="261"/>
    </w:p>
    <w:p>
      <w:pPr>
        <w:pStyle w:val="7"/>
        <w:outlineLvl w:val="1"/>
        <w:rPr>
          <w:rFonts w:hint="eastAsia"/>
        </w:rPr>
      </w:pPr>
      <w:bookmarkStart w:id="262" w:name="_Toc4231_WPSOffice_Level2"/>
      <w:bookmarkStart w:id="263" w:name="_Toc7990"/>
      <w:bookmarkStart w:id="264" w:name="_Toc18395_WPSOffice_Level2"/>
      <w:bookmarkStart w:id="265" w:name="_Toc32500"/>
      <w:bookmarkStart w:id="266" w:name="_Toc23586"/>
      <w:bookmarkStart w:id="267" w:name="_Toc4393"/>
      <w:r>
        <w:rPr>
          <w:rFonts w:hint="eastAsia"/>
        </w:rPr>
        <w:t>8.1运行机构</w:t>
      </w:r>
      <w:bookmarkEnd w:id="262"/>
      <w:bookmarkEnd w:id="263"/>
      <w:bookmarkEnd w:id="264"/>
      <w:bookmarkEnd w:id="265"/>
      <w:bookmarkEnd w:id="266"/>
      <w:bookmarkEnd w:id="267"/>
    </w:p>
    <w:p>
      <w:pPr>
        <w:pStyle w:val="2"/>
        <w:ind w:firstLine="560"/>
        <w:rPr>
          <w:rFonts w:hint="eastAsia"/>
        </w:rPr>
      </w:pPr>
      <w:r>
        <w:rPr>
          <w:rFonts w:hint="eastAsia"/>
        </w:rPr>
        <w:t>运行机构可采取多种运行方式，由政府自行管理、运行，或者区政府相关部门采取政府购买服务或政府相关部门负责的方式，将全区农村污水治理设施项目建设、运营和管理。</w:t>
      </w:r>
    </w:p>
    <w:p>
      <w:pPr>
        <w:pStyle w:val="2"/>
        <w:ind w:firstLine="560"/>
      </w:pPr>
      <w:r>
        <w:rPr>
          <w:rFonts w:hint="eastAsia"/>
        </w:rPr>
        <w:t>根据规划确定的不同处理模式，对于有效管控模式主要以各村村委会为为主体开展。对于纳管模式，由</w:t>
      </w:r>
      <w:r>
        <w:rPr>
          <w:rFonts w:hint="eastAsia"/>
          <w:lang w:eastAsia="zh-CN"/>
        </w:rPr>
        <w:t>友好区</w:t>
      </w:r>
      <w:r>
        <w:rPr>
          <w:rFonts w:hint="eastAsia"/>
        </w:rPr>
        <w:t>市政管理部门负责管网的维护、化粪池的清掏等。</w:t>
      </w:r>
    </w:p>
    <w:p>
      <w:pPr>
        <w:pStyle w:val="7"/>
        <w:outlineLvl w:val="1"/>
      </w:pPr>
      <w:bookmarkStart w:id="268" w:name="_Toc2213"/>
      <w:bookmarkStart w:id="269" w:name="_Toc12059_WPSOffice_Level2"/>
      <w:bookmarkStart w:id="270" w:name="_Toc3153"/>
      <w:bookmarkStart w:id="271" w:name="_Toc18664_WPSOffice_Level2"/>
      <w:bookmarkStart w:id="272" w:name="_Toc4432"/>
      <w:bookmarkStart w:id="273" w:name="_Toc9604"/>
      <w:r>
        <w:rPr>
          <w:rFonts w:hint="eastAsia"/>
        </w:rPr>
        <w:t>8.2运行模式</w:t>
      </w:r>
      <w:bookmarkEnd w:id="268"/>
      <w:bookmarkEnd w:id="269"/>
      <w:bookmarkEnd w:id="270"/>
      <w:bookmarkEnd w:id="271"/>
      <w:bookmarkEnd w:id="272"/>
      <w:bookmarkEnd w:id="273"/>
    </w:p>
    <w:p>
      <w:pPr>
        <w:pStyle w:val="2"/>
        <w:ind w:firstLine="560"/>
        <w:rPr>
          <w:rFonts w:hint="eastAsia"/>
        </w:rPr>
      </w:pPr>
      <w:r>
        <w:t>按照“统一规划、统一建设、统一运营、统一管理、适当收费”原则，全</w:t>
      </w:r>
      <w:r>
        <w:rPr>
          <w:rFonts w:hint="eastAsia"/>
          <w:lang w:eastAsia="zh-CN"/>
        </w:rPr>
        <w:t>区</w:t>
      </w:r>
      <w:r>
        <w:t>村镇农户改厕（污水一体化)设备采购、项目建设，由“运营公司”负责采购，把农村改厕与村镇生活污水治理一体化推进、规模化建设和专业化管护。</w:t>
      </w:r>
    </w:p>
    <w:p>
      <w:pPr>
        <w:pStyle w:val="7"/>
        <w:outlineLvl w:val="1"/>
      </w:pPr>
      <w:bookmarkStart w:id="274" w:name="_Toc13016_WPSOffice_Level2"/>
      <w:bookmarkStart w:id="275" w:name="_Toc17035"/>
      <w:bookmarkStart w:id="276" w:name="_Toc20336"/>
      <w:bookmarkStart w:id="277" w:name="_Toc21421"/>
      <w:bookmarkStart w:id="278" w:name="_Toc20571"/>
      <w:bookmarkStart w:id="279" w:name="_Toc11458_WPSOffice_Level2"/>
      <w:r>
        <w:rPr>
          <w:rFonts w:hint="eastAsia"/>
        </w:rPr>
        <w:t>8.3组织机构</w:t>
      </w:r>
      <w:bookmarkEnd w:id="274"/>
      <w:bookmarkEnd w:id="275"/>
      <w:bookmarkEnd w:id="276"/>
      <w:bookmarkEnd w:id="277"/>
      <w:bookmarkEnd w:id="278"/>
      <w:bookmarkEnd w:id="279"/>
    </w:p>
    <w:p>
      <w:pPr>
        <w:pStyle w:val="2"/>
        <w:ind w:firstLine="560"/>
        <w:rPr>
          <w:highlight w:val="none"/>
        </w:rPr>
      </w:pPr>
      <w:r>
        <w:rPr>
          <w:rFonts w:hint="eastAsia"/>
          <w:highlight w:val="none"/>
        </w:rPr>
        <w:t>为切实加强领导，成立由</w:t>
      </w:r>
      <w:r>
        <w:rPr>
          <w:rFonts w:hint="eastAsia"/>
          <w:highlight w:val="none"/>
          <w:lang w:eastAsia="zh-CN"/>
        </w:rPr>
        <w:t>区</w:t>
      </w:r>
      <w:r>
        <w:rPr>
          <w:rFonts w:hint="eastAsia"/>
          <w:highlight w:val="none"/>
        </w:rPr>
        <w:t>委主要领导为组长，人大、政府、政协领导为副组长，</w:t>
      </w:r>
      <w:r>
        <w:rPr>
          <w:rFonts w:hint="eastAsia"/>
          <w:highlight w:val="none"/>
          <w:lang w:eastAsia="zh-CN"/>
        </w:rPr>
        <w:t>区</w:t>
      </w:r>
      <w:r>
        <w:rPr>
          <w:rFonts w:hint="eastAsia"/>
          <w:highlight w:val="none"/>
        </w:rPr>
        <w:t>财政局、</w:t>
      </w:r>
      <w:r>
        <w:rPr>
          <w:rFonts w:hint="eastAsia"/>
          <w:highlight w:val="none"/>
          <w:lang w:eastAsia="zh-CN"/>
        </w:rPr>
        <w:t>区</w:t>
      </w:r>
      <w:r>
        <w:rPr>
          <w:rFonts w:hint="eastAsia"/>
          <w:highlight w:val="none"/>
        </w:rPr>
        <w:t>农业局、</w:t>
      </w:r>
      <w:r>
        <w:rPr>
          <w:rFonts w:hint="eastAsia"/>
          <w:highlight w:val="none"/>
          <w:lang w:eastAsia="zh-CN"/>
        </w:rPr>
        <w:t>区</w:t>
      </w:r>
      <w:r>
        <w:rPr>
          <w:rFonts w:hint="eastAsia"/>
          <w:highlight w:val="none"/>
        </w:rPr>
        <w:t>住建局、</w:t>
      </w:r>
      <w:r>
        <w:rPr>
          <w:rFonts w:hint="eastAsia"/>
          <w:highlight w:val="none"/>
          <w:lang w:eastAsia="zh-CN"/>
        </w:rPr>
        <w:t>区</w:t>
      </w:r>
      <w:r>
        <w:rPr>
          <w:rFonts w:hint="eastAsia"/>
          <w:highlight w:val="none"/>
        </w:rPr>
        <w:t>规划局、</w:t>
      </w:r>
      <w:r>
        <w:rPr>
          <w:rFonts w:hint="eastAsia"/>
          <w:highlight w:val="none"/>
          <w:lang w:val="en-US" w:eastAsia="zh-CN"/>
        </w:rPr>
        <w:t>伊春市友好</w:t>
      </w:r>
      <w:r>
        <w:rPr>
          <w:rFonts w:hint="eastAsia"/>
          <w:highlight w:val="none"/>
        </w:rPr>
        <w:t>生态环境局等部门领导为成员的工作领导小组，下设办公室。各乡镇也要建立相应工作机构，落实专人负责此项工作。</w:t>
      </w:r>
    </w:p>
    <w:p>
      <w:pPr>
        <w:pStyle w:val="7"/>
        <w:outlineLvl w:val="1"/>
      </w:pPr>
      <w:bookmarkStart w:id="280" w:name="_Toc7513_WPSOffice_Level2"/>
      <w:bookmarkStart w:id="281" w:name="_Toc6192_WPSOffice_Level2"/>
      <w:bookmarkStart w:id="282" w:name="_Toc29225"/>
      <w:bookmarkStart w:id="283" w:name="_Toc5927"/>
      <w:bookmarkStart w:id="284" w:name="_Toc5897"/>
      <w:bookmarkStart w:id="285" w:name="_Toc24346"/>
      <w:r>
        <w:rPr>
          <w:rFonts w:hint="eastAsia"/>
        </w:rPr>
        <w:t>8.4责任分工</w:t>
      </w:r>
      <w:bookmarkEnd w:id="280"/>
      <w:bookmarkEnd w:id="281"/>
      <w:bookmarkEnd w:id="282"/>
      <w:bookmarkEnd w:id="283"/>
      <w:bookmarkEnd w:id="284"/>
      <w:bookmarkEnd w:id="285"/>
    </w:p>
    <w:p>
      <w:pPr>
        <w:pStyle w:val="2"/>
        <w:ind w:firstLine="560"/>
        <w:rPr>
          <w:rFonts w:hint="eastAsia"/>
        </w:rPr>
      </w:pPr>
      <w:r>
        <w:t>各乡镇和相关部门、单位要各司其职，紧密配合，共同做好村镇污水处理设施和农村卫生厕所改造的建设和运行管理工作。</w:t>
      </w:r>
    </w:p>
    <w:p>
      <w:pPr>
        <w:pStyle w:val="7"/>
        <w:outlineLvl w:val="1"/>
      </w:pPr>
      <w:bookmarkStart w:id="286" w:name="_Toc32036"/>
      <w:bookmarkStart w:id="287" w:name="_Toc16445"/>
      <w:bookmarkStart w:id="288" w:name="_Toc28753"/>
      <w:bookmarkStart w:id="289" w:name="_Toc378185999"/>
      <w:bookmarkStart w:id="290" w:name="_Toc28130_WPSOffice_Level2"/>
      <w:bookmarkStart w:id="291" w:name="_Toc298072159"/>
      <w:bookmarkStart w:id="292" w:name="_Toc16355"/>
      <w:bookmarkStart w:id="293" w:name="_Toc32606_WPSOffice_Level2"/>
      <w:r>
        <w:rPr>
          <w:rFonts w:hint="eastAsia"/>
        </w:rPr>
        <w:t>8.5运营维护</w:t>
      </w:r>
      <w:bookmarkEnd w:id="286"/>
      <w:bookmarkEnd w:id="287"/>
      <w:bookmarkEnd w:id="288"/>
      <w:bookmarkEnd w:id="289"/>
      <w:bookmarkEnd w:id="290"/>
      <w:bookmarkEnd w:id="291"/>
      <w:bookmarkEnd w:id="292"/>
      <w:bookmarkEnd w:id="293"/>
    </w:p>
    <w:p>
      <w:pPr>
        <w:pStyle w:val="2"/>
        <w:ind w:firstLine="560"/>
        <w:rPr>
          <w:rFonts w:hint="eastAsia"/>
        </w:rPr>
      </w:pPr>
      <w:r>
        <w:rPr>
          <w:rFonts w:hint="eastAsia"/>
        </w:rPr>
        <w:t>（</w:t>
      </w:r>
      <w:r>
        <w:t>1</w:t>
      </w:r>
      <w:r>
        <w:rPr>
          <w:rFonts w:hint="eastAsia"/>
        </w:rPr>
        <w:t>）日常检查</w:t>
      </w:r>
    </w:p>
    <w:p>
      <w:pPr>
        <w:pStyle w:val="2"/>
        <w:ind w:firstLine="560"/>
      </w:pPr>
      <w:r>
        <w:rPr>
          <w:rFonts w:hint="eastAsia"/>
        </w:rPr>
        <w:t>（</w:t>
      </w:r>
      <w:r>
        <w:t>2</w:t>
      </w:r>
      <w:r>
        <w:rPr>
          <w:rFonts w:hint="eastAsia"/>
        </w:rPr>
        <w:t>）定期维护</w:t>
      </w:r>
      <w:r>
        <w:t xml:space="preserve"> </w:t>
      </w:r>
    </w:p>
    <w:p>
      <w:pPr>
        <w:pStyle w:val="2"/>
        <w:ind w:firstLine="560"/>
      </w:pPr>
      <w:r>
        <w:rPr>
          <w:rFonts w:hint="eastAsia"/>
        </w:rPr>
        <w:t>（3）处理出水检验</w:t>
      </w:r>
    </w:p>
    <w:p>
      <w:pPr>
        <w:pStyle w:val="4"/>
        <w:spacing w:before="480" w:after="240"/>
      </w:pPr>
      <w:bookmarkStart w:id="294" w:name="_Toc29586"/>
      <w:bookmarkStart w:id="295" w:name="_Toc16930_WPSOffice_Level1"/>
      <w:bookmarkStart w:id="296" w:name="_Toc14474_WPSOffice_Level1"/>
      <w:bookmarkStart w:id="297" w:name="_Toc4667"/>
      <w:bookmarkStart w:id="298" w:name="_Toc23545"/>
      <w:bookmarkStart w:id="299" w:name="_Toc22085"/>
      <w:bookmarkStart w:id="300" w:name="_Toc22690"/>
      <w:bookmarkStart w:id="301" w:name="_Toc29265"/>
      <w:bookmarkStart w:id="302" w:name="_Toc9082"/>
      <w:r>
        <w:rPr>
          <w:rFonts w:hint="eastAsia"/>
        </w:rPr>
        <w:t>第九章 效益分析</w:t>
      </w:r>
      <w:bookmarkEnd w:id="294"/>
      <w:bookmarkEnd w:id="295"/>
      <w:bookmarkEnd w:id="296"/>
      <w:bookmarkEnd w:id="297"/>
      <w:bookmarkEnd w:id="298"/>
      <w:bookmarkEnd w:id="299"/>
      <w:bookmarkEnd w:id="300"/>
      <w:bookmarkEnd w:id="301"/>
      <w:bookmarkEnd w:id="302"/>
    </w:p>
    <w:p>
      <w:pPr>
        <w:pStyle w:val="2"/>
        <w:ind w:firstLine="560"/>
      </w:pPr>
      <w:r>
        <w:rPr>
          <w:rFonts w:hint="eastAsia"/>
        </w:rPr>
        <w:t>本规划针对</w:t>
      </w:r>
      <w:r>
        <w:rPr>
          <w:rFonts w:hint="eastAsia"/>
          <w:lang w:eastAsia="zh-CN"/>
        </w:rPr>
        <w:t>友好区</w:t>
      </w:r>
      <w:r>
        <w:rPr>
          <w:rFonts w:hint="eastAsia"/>
        </w:rPr>
        <w:t>各乡镇及下辖村庄污水处理的现状问题，对污水的收集、处理给出了具体的解决方案，规划兼具技术可行性和操作可行性，便于实施，且能带来较好的环境、社会、经济效益。</w:t>
      </w:r>
    </w:p>
    <w:p>
      <w:pPr>
        <w:pStyle w:val="7"/>
        <w:outlineLvl w:val="1"/>
        <w:rPr>
          <w:rFonts w:hint="eastAsia"/>
        </w:rPr>
      </w:pPr>
      <w:bookmarkStart w:id="303" w:name="_Toc621"/>
      <w:bookmarkEnd w:id="303"/>
      <w:bookmarkStart w:id="304" w:name="_Toc2737"/>
      <w:bookmarkStart w:id="305" w:name="_Toc23447"/>
      <w:bookmarkStart w:id="306" w:name="_Toc8150"/>
      <w:bookmarkStart w:id="307" w:name="_Toc31290_WPSOffice_Level2"/>
      <w:bookmarkStart w:id="308" w:name="_Toc5922_WPSOffice_Level2"/>
      <w:bookmarkStart w:id="309" w:name="_Toc6904"/>
      <w:r>
        <w:rPr>
          <w:rFonts w:hint="eastAsia"/>
        </w:rPr>
        <w:t>9.1环境效益</w:t>
      </w:r>
      <w:bookmarkEnd w:id="304"/>
      <w:bookmarkEnd w:id="305"/>
      <w:bookmarkEnd w:id="306"/>
      <w:bookmarkEnd w:id="307"/>
      <w:bookmarkEnd w:id="308"/>
      <w:bookmarkEnd w:id="309"/>
    </w:p>
    <w:p>
      <w:pPr>
        <w:pStyle w:val="2"/>
        <w:ind w:firstLine="560"/>
        <w:rPr>
          <w:rFonts w:hint="eastAsia"/>
        </w:rPr>
      </w:pPr>
      <w:r>
        <w:rPr>
          <w:rFonts w:hint="eastAsia"/>
        </w:rPr>
        <w:t>规划在分析比较现阶段污水处理管理模式的基础上，经过论证按照全过程管理的基本原则，构建合理的污水收集和处理体系。污水经污水管网收集送至各污水处理设施进行处理，处置后的污泥进行末端处置。</w:t>
      </w:r>
    </w:p>
    <w:p>
      <w:pPr>
        <w:pStyle w:val="2"/>
        <w:ind w:firstLine="560"/>
        <w:rPr>
          <w:rFonts w:hint="eastAsia"/>
        </w:rPr>
      </w:pPr>
      <w:r>
        <w:rPr>
          <w:rFonts w:hint="eastAsia"/>
        </w:rPr>
        <w:t>通过规划的逐步实施，将在规划范围内构建科学合理的污水处理体系，实现污水收集及处理设施的合理布局与建设；通过污水管网的合理布局、规范化建设与管理，在满足处理污水量的同时全方位改进和提高</w:t>
      </w:r>
      <w:r>
        <w:rPr>
          <w:rFonts w:hint="eastAsia"/>
          <w:lang w:eastAsia="zh-CN"/>
        </w:rPr>
        <w:t>友好区</w:t>
      </w:r>
      <w:r>
        <w:rPr>
          <w:rFonts w:hint="eastAsia"/>
        </w:rPr>
        <w:t>水环境质量。</w:t>
      </w:r>
    </w:p>
    <w:p>
      <w:pPr>
        <w:pStyle w:val="2"/>
        <w:ind w:firstLine="560"/>
        <w:rPr>
          <w:highlight w:val="none"/>
        </w:rPr>
      </w:pPr>
      <w:r>
        <w:rPr>
          <w:rFonts w:hint="eastAsia"/>
          <w:highlight w:val="none"/>
        </w:rPr>
        <w:t>通过本次规划的实施，在规划末期，</w:t>
      </w:r>
      <w:r>
        <w:rPr>
          <w:rFonts w:hint="eastAsia"/>
          <w:highlight w:val="none"/>
          <w:lang w:eastAsia="zh-CN"/>
        </w:rPr>
        <w:t>友好区</w:t>
      </w:r>
      <w:r>
        <w:rPr>
          <w:rFonts w:hint="eastAsia"/>
          <w:highlight w:val="none"/>
        </w:rPr>
        <w:t>整体农村污水治理率达到1</w:t>
      </w:r>
      <w:r>
        <w:rPr>
          <w:highlight w:val="none"/>
        </w:rPr>
        <w:t>00</w:t>
      </w:r>
      <w:r>
        <w:rPr>
          <w:rFonts w:hint="eastAsia"/>
          <w:highlight w:val="none"/>
        </w:rPr>
        <w:t>%，覆盖</w:t>
      </w:r>
      <w:r>
        <w:rPr>
          <w:rFonts w:hint="eastAsia"/>
          <w:highlight w:val="none"/>
          <w:lang w:val="en-US" w:eastAsia="zh-CN"/>
        </w:rPr>
        <w:t>9</w:t>
      </w:r>
      <w:r>
        <w:rPr>
          <w:rFonts w:hint="eastAsia"/>
          <w:highlight w:val="none"/>
        </w:rPr>
        <w:t>个农村、</w:t>
      </w:r>
      <w:r>
        <w:rPr>
          <w:rFonts w:hint="eastAsia"/>
          <w:highlight w:val="none"/>
          <w:lang w:val="en-US" w:eastAsia="zh-CN"/>
        </w:rPr>
        <w:t>389</w:t>
      </w:r>
      <w:r>
        <w:rPr>
          <w:rFonts w:hint="eastAsia"/>
          <w:highlight w:val="none"/>
        </w:rPr>
        <w:t>户、</w:t>
      </w:r>
      <w:r>
        <w:rPr>
          <w:rFonts w:hint="eastAsia"/>
          <w:highlight w:val="none"/>
          <w:lang w:val="en-US" w:eastAsia="zh-CN"/>
        </w:rPr>
        <w:t>725</w:t>
      </w:r>
      <w:r>
        <w:rPr>
          <w:rFonts w:hint="eastAsia"/>
          <w:highlight w:val="none"/>
        </w:rPr>
        <w:t>人口，有效的改善了农村人居环境及水环境。</w:t>
      </w:r>
    </w:p>
    <w:p>
      <w:pPr>
        <w:pStyle w:val="2"/>
        <w:ind w:firstLine="560"/>
        <w:rPr>
          <w:rFonts w:hint="eastAsia"/>
          <w:highlight w:val="none"/>
        </w:rPr>
      </w:pPr>
      <w:r>
        <w:rPr>
          <w:rFonts w:hint="eastAsia"/>
          <w:highlight w:val="none"/>
        </w:rPr>
        <w:t>在规划远期，通过规划方案的实施，相较规划水平年，C</w:t>
      </w:r>
      <w:r>
        <w:rPr>
          <w:highlight w:val="none"/>
        </w:rPr>
        <w:t>OD</w:t>
      </w:r>
      <w:r>
        <w:rPr>
          <w:rFonts w:hint="eastAsia"/>
          <w:highlight w:val="none"/>
        </w:rPr>
        <w:t>减排</w:t>
      </w:r>
      <w:r>
        <w:rPr>
          <w:rFonts w:hint="eastAsia"/>
          <w:highlight w:val="none"/>
          <w:lang w:val="en-US" w:eastAsia="zh-CN"/>
        </w:rPr>
        <w:t>4.95</w:t>
      </w:r>
      <w:r>
        <w:rPr>
          <w:rFonts w:hint="eastAsia"/>
          <w:highlight w:val="none"/>
        </w:rPr>
        <w:t>t、氨氮减排</w:t>
      </w:r>
      <w:r>
        <w:rPr>
          <w:rFonts w:hint="eastAsia"/>
          <w:highlight w:val="none"/>
          <w:lang w:val="en-US" w:eastAsia="zh-CN"/>
        </w:rPr>
        <w:t>0.49</w:t>
      </w:r>
      <w:r>
        <w:rPr>
          <w:rFonts w:hint="eastAsia"/>
          <w:highlight w:val="none"/>
        </w:rPr>
        <w:t>t，对于全</w:t>
      </w:r>
      <w:r>
        <w:rPr>
          <w:rFonts w:hint="eastAsia"/>
          <w:highlight w:val="none"/>
          <w:lang w:eastAsia="zh-CN"/>
        </w:rPr>
        <w:t>区</w:t>
      </w:r>
      <w:r>
        <w:rPr>
          <w:rFonts w:hint="eastAsia"/>
          <w:highlight w:val="none"/>
        </w:rPr>
        <w:t>水环境质量的改善，有极大的环境正面效应。</w:t>
      </w:r>
    </w:p>
    <w:p>
      <w:pPr>
        <w:pStyle w:val="7"/>
        <w:outlineLvl w:val="1"/>
        <w:rPr>
          <w:rFonts w:hint="eastAsia"/>
        </w:rPr>
      </w:pPr>
      <w:bookmarkStart w:id="310" w:name="_Toc6703"/>
      <w:bookmarkEnd w:id="310"/>
      <w:bookmarkStart w:id="311" w:name="_Toc3298_WPSOffice_Level2"/>
      <w:bookmarkStart w:id="312" w:name="_Toc19722"/>
      <w:bookmarkStart w:id="313" w:name="_Toc19581"/>
      <w:bookmarkStart w:id="314" w:name="_Toc19143"/>
      <w:bookmarkStart w:id="315" w:name="_Toc28077_WPSOffice_Level2"/>
      <w:bookmarkStart w:id="316" w:name="_Toc4974"/>
      <w:r>
        <w:rPr>
          <w:rFonts w:hint="eastAsia"/>
        </w:rPr>
        <w:t>9.2社会效益</w:t>
      </w:r>
      <w:bookmarkEnd w:id="311"/>
      <w:bookmarkEnd w:id="312"/>
      <w:bookmarkEnd w:id="313"/>
      <w:bookmarkEnd w:id="314"/>
      <w:bookmarkEnd w:id="315"/>
      <w:bookmarkEnd w:id="316"/>
    </w:p>
    <w:p>
      <w:pPr>
        <w:pStyle w:val="2"/>
        <w:ind w:firstLine="560"/>
        <w:rPr>
          <w:rFonts w:hint="eastAsia"/>
        </w:rPr>
      </w:pPr>
      <w:r>
        <w:rPr>
          <w:rFonts w:hint="eastAsia"/>
        </w:rPr>
        <w:t>一、污水处理设施的建设是改善生态环境，保护水资源，保障人民身体健康，造福社会的环境保护工程。</w:t>
      </w:r>
    </w:p>
    <w:p>
      <w:pPr>
        <w:pStyle w:val="2"/>
        <w:ind w:firstLine="560"/>
        <w:rPr>
          <w:rFonts w:hint="eastAsia"/>
        </w:rPr>
      </w:pPr>
      <w:r>
        <w:rPr>
          <w:rFonts w:hint="eastAsia"/>
        </w:rPr>
        <w:t>二、污水处理设施的建设将改善投资环境，吸引外资，对发展</w:t>
      </w:r>
      <w:r>
        <w:rPr>
          <w:rFonts w:hint="eastAsia"/>
          <w:lang w:eastAsia="zh-CN"/>
        </w:rPr>
        <w:t>友好区</w:t>
      </w:r>
      <w:r>
        <w:rPr>
          <w:rFonts w:hint="eastAsia"/>
        </w:rPr>
        <w:t>的经济具有积极作用。</w:t>
      </w:r>
    </w:p>
    <w:p>
      <w:pPr>
        <w:pStyle w:val="2"/>
        <w:ind w:firstLine="560"/>
        <w:rPr>
          <w:rFonts w:hint="eastAsia"/>
        </w:rPr>
      </w:pPr>
      <w:r>
        <w:rPr>
          <w:rFonts w:hint="eastAsia"/>
        </w:rPr>
        <w:t>三、污水处理设施的建设将改善和提高各乡镇水系乃至</w:t>
      </w:r>
      <w:r>
        <w:rPr>
          <w:rFonts w:hint="eastAsia"/>
          <w:lang w:val="en-US" w:eastAsia="zh-CN"/>
        </w:rPr>
        <w:t>松花江</w:t>
      </w:r>
      <w:r>
        <w:rPr>
          <w:rFonts w:hint="eastAsia"/>
        </w:rPr>
        <w:t>流域的水体水质，对预防各种传染病、公害病、提高人民健康水平，起重要作用。</w:t>
      </w:r>
    </w:p>
    <w:p>
      <w:pPr>
        <w:pStyle w:val="7"/>
        <w:outlineLvl w:val="1"/>
        <w:rPr>
          <w:rFonts w:hint="eastAsia"/>
        </w:rPr>
      </w:pPr>
      <w:bookmarkStart w:id="317" w:name="_Toc8661"/>
      <w:bookmarkEnd w:id="317"/>
      <w:bookmarkStart w:id="318" w:name="_Toc10892"/>
      <w:bookmarkStart w:id="319" w:name="_Toc22447_WPSOffice_Level2"/>
      <w:bookmarkStart w:id="320" w:name="_Toc8477_WPSOffice_Level2"/>
      <w:bookmarkStart w:id="321" w:name="_Toc20271"/>
      <w:bookmarkStart w:id="322" w:name="_Toc11243"/>
      <w:bookmarkStart w:id="323" w:name="_Toc22403"/>
      <w:r>
        <w:rPr>
          <w:rFonts w:hint="eastAsia"/>
        </w:rPr>
        <w:t>9.3经济效益</w:t>
      </w:r>
      <w:bookmarkEnd w:id="318"/>
      <w:bookmarkEnd w:id="319"/>
      <w:bookmarkEnd w:id="320"/>
      <w:bookmarkEnd w:id="321"/>
      <w:bookmarkEnd w:id="322"/>
      <w:bookmarkEnd w:id="323"/>
    </w:p>
    <w:p>
      <w:pPr>
        <w:pStyle w:val="2"/>
        <w:ind w:firstLine="560"/>
        <w:rPr>
          <w:rFonts w:hint="eastAsia"/>
        </w:rPr>
      </w:pPr>
      <w:r>
        <w:rPr>
          <w:rFonts w:hint="eastAsia"/>
        </w:rPr>
        <w:t>污水处理设施作为城市基础设施的重要组成部分，其本身并不产生直接的经济效益，但对经济发展的贡献巨大。污水处理设施的建设通过改善环境，提高环境质量水平，改善各乡镇水系乃至</w:t>
      </w:r>
      <w:r>
        <w:rPr>
          <w:rFonts w:hint="eastAsia"/>
          <w:lang w:val="en-US" w:eastAsia="zh-CN"/>
        </w:rPr>
        <w:t>松花江</w:t>
      </w:r>
      <w:r>
        <w:rPr>
          <w:rFonts w:hint="eastAsia"/>
        </w:rPr>
        <w:t>流域的水质，避免和减轻污水排放对工农业生产及其国民经济发展所造成的经济损失等所产生的间接经济效益将是巨大的。体现在：有利于改善投资环境、吸引外资、发展工业区经济；增加农渔业的产量；提高农副产品和工业产品质量；减少城市自来水厂净化处理成本等方面。</w:t>
      </w:r>
    </w:p>
    <w:p>
      <w:pPr>
        <w:pStyle w:val="2"/>
        <w:ind w:firstLine="560"/>
      </w:pPr>
    </w:p>
    <w:p>
      <w:pPr>
        <w:pStyle w:val="2"/>
        <w:ind w:firstLine="560"/>
      </w:pPr>
    </w:p>
    <w:p>
      <w:pPr>
        <w:spacing w:before="120" w:beforeLines="50" w:after="120" w:afterLines="50" w:line="360" w:lineRule="auto"/>
        <w:jc w:val="center"/>
        <w:rPr>
          <w:rStyle w:val="58"/>
        </w:rPr>
      </w:pPr>
    </w:p>
    <w:p>
      <w:pPr>
        <w:pStyle w:val="4"/>
        <w:spacing w:before="480" w:after="240"/>
      </w:pPr>
      <w:bookmarkStart w:id="324" w:name="_Toc29768"/>
      <w:bookmarkStart w:id="325" w:name="_Toc31264"/>
      <w:bookmarkStart w:id="326" w:name="_Toc31369_WPSOffice_Level1"/>
      <w:bookmarkStart w:id="327" w:name="_Toc30015"/>
      <w:bookmarkStart w:id="328" w:name="_Toc22285"/>
      <w:bookmarkStart w:id="329" w:name="_Toc4400_WPSOffice_Level1"/>
      <w:bookmarkStart w:id="330" w:name="_Toc17829"/>
      <w:bookmarkStart w:id="331" w:name="_Toc650"/>
      <w:bookmarkStart w:id="332" w:name="_Toc20241"/>
      <w:r>
        <w:rPr>
          <w:rFonts w:hint="eastAsia"/>
        </w:rPr>
        <w:t>第十章 保障措施</w:t>
      </w:r>
      <w:bookmarkEnd w:id="324"/>
      <w:bookmarkEnd w:id="325"/>
      <w:bookmarkEnd w:id="326"/>
      <w:bookmarkEnd w:id="327"/>
      <w:bookmarkEnd w:id="328"/>
      <w:bookmarkEnd w:id="329"/>
      <w:bookmarkEnd w:id="330"/>
      <w:bookmarkEnd w:id="331"/>
      <w:bookmarkEnd w:id="332"/>
    </w:p>
    <w:p>
      <w:pPr>
        <w:pStyle w:val="2"/>
        <w:ind w:firstLine="560"/>
      </w:pPr>
      <w:r>
        <w:rPr>
          <w:rFonts w:hint="eastAsia"/>
        </w:rPr>
        <w:t>农村污水处理是一项紧迫而又艰巨的工程，必须加强领导、落实责任、创新体制、完善机制、强化管理，才能为实现</w:t>
      </w:r>
      <w:r>
        <w:rPr>
          <w:rFonts w:hint="eastAsia"/>
          <w:lang w:eastAsia="zh-CN"/>
        </w:rPr>
        <w:t>友好区</w:t>
      </w:r>
      <w:r>
        <w:rPr>
          <w:rFonts w:hint="eastAsia"/>
        </w:rPr>
        <w:t>农村生活污水处理设施建设提供有力保障。</w:t>
      </w:r>
    </w:p>
    <w:p>
      <w:pPr>
        <w:pStyle w:val="7"/>
        <w:rPr>
          <w:rFonts w:hint="eastAsia"/>
        </w:rPr>
      </w:pPr>
      <w:bookmarkStart w:id="333" w:name="_Toc22687"/>
      <w:bookmarkEnd w:id="333"/>
      <w:bookmarkStart w:id="334" w:name="_Toc455387203"/>
      <w:bookmarkEnd w:id="334"/>
      <w:bookmarkStart w:id="335" w:name="_Toc2113_WPSOffice_Level2"/>
      <w:bookmarkStart w:id="336" w:name="_Toc28773_WPSOffice_Level2"/>
      <w:r>
        <w:rPr>
          <w:rFonts w:hint="eastAsia"/>
        </w:rPr>
        <w:t>10.1政策与机制保障</w:t>
      </w:r>
      <w:bookmarkEnd w:id="335"/>
      <w:bookmarkEnd w:id="336"/>
    </w:p>
    <w:p>
      <w:pPr>
        <w:pStyle w:val="7"/>
        <w:rPr>
          <w:rFonts w:hint="eastAsia"/>
        </w:rPr>
      </w:pPr>
      <w:bookmarkStart w:id="337" w:name="_Toc26969"/>
      <w:r>
        <w:rPr>
          <w:rFonts w:hint="eastAsia"/>
        </w:rPr>
        <w:t>10.1.1加强组织领导</w:t>
      </w:r>
      <w:bookmarkEnd w:id="337"/>
    </w:p>
    <w:p>
      <w:pPr>
        <w:pStyle w:val="2"/>
        <w:ind w:firstLine="560"/>
        <w:rPr>
          <w:rFonts w:hint="eastAsia"/>
          <w:highlight w:val="none"/>
        </w:rPr>
      </w:pPr>
      <w:r>
        <w:rPr>
          <w:rFonts w:hint="eastAsia"/>
          <w:highlight w:val="none"/>
        </w:rPr>
        <w:t>为切实加强领导，成立由</w:t>
      </w:r>
      <w:r>
        <w:rPr>
          <w:rFonts w:hint="eastAsia"/>
          <w:highlight w:val="none"/>
          <w:lang w:eastAsia="zh-CN"/>
        </w:rPr>
        <w:t>区</w:t>
      </w:r>
      <w:r>
        <w:rPr>
          <w:rFonts w:hint="eastAsia"/>
          <w:highlight w:val="none"/>
        </w:rPr>
        <w:t>委主要领导为组长，人大、政府、政协领导为副组长，</w:t>
      </w:r>
      <w:r>
        <w:rPr>
          <w:rFonts w:hint="eastAsia"/>
          <w:highlight w:val="none"/>
          <w:lang w:eastAsia="zh-CN"/>
        </w:rPr>
        <w:t>区</w:t>
      </w:r>
      <w:r>
        <w:rPr>
          <w:rFonts w:hint="eastAsia"/>
          <w:highlight w:val="none"/>
        </w:rPr>
        <w:t>财政局、</w:t>
      </w:r>
      <w:r>
        <w:rPr>
          <w:rFonts w:hint="eastAsia"/>
          <w:highlight w:val="none"/>
          <w:lang w:eastAsia="zh-CN"/>
        </w:rPr>
        <w:t>区</w:t>
      </w:r>
      <w:r>
        <w:rPr>
          <w:rFonts w:hint="eastAsia"/>
          <w:highlight w:val="none"/>
        </w:rPr>
        <w:t>农业局、</w:t>
      </w:r>
      <w:r>
        <w:rPr>
          <w:rFonts w:hint="eastAsia"/>
          <w:highlight w:val="none"/>
          <w:lang w:eastAsia="zh-CN"/>
        </w:rPr>
        <w:t>区</w:t>
      </w:r>
      <w:r>
        <w:rPr>
          <w:rFonts w:hint="eastAsia"/>
          <w:highlight w:val="none"/>
        </w:rPr>
        <w:t>住建局、</w:t>
      </w:r>
      <w:r>
        <w:rPr>
          <w:rFonts w:hint="eastAsia"/>
          <w:highlight w:val="none"/>
          <w:lang w:eastAsia="zh-CN"/>
        </w:rPr>
        <w:t>区</w:t>
      </w:r>
      <w:r>
        <w:rPr>
          <w:rFonts w:hint="eastAsia"/>
          <w:highlight w:val="none"/>
        </w:rPr>
        <w:t>规划局、</w:t>
      </w:r>
      <w:r>
        <w:rPr>
          <w:rFonts w:hint="eastAsia"/>
          <w:highlight w:val="none"/>
          <w:lang w:val="en-US" w:eastAsia="zh-CN"/>
        </w:rPr>
        <w:t>伊春市友好</w:t>
      </w:r>
      <w:r>
        <w:rPr>
          <w:rFonts w:hint="eastAsia"/>
          <w:highlight w:val="none"/>
        </w:rPr>
        <w:t>生态环境局等部门领导为成员的工作领导小组，下设办公室。各乡镇也要建立相应工作机构，落实专人负责此项工作。其他单位各司其职、主动配合、认真履职，确保各项工作有效推进。</w:t>
      </w:r>
    </w:p>
    <w:p>
      <w:pPr>
        <w:pStyle w:val="7"/>
        <w:rPr>
          <w:rFonts w:hint="eastAsia"/>
        </w:rPr>
      </w:pPr>
      <w:bookmarkStart w:id="338" w:name="_Toc12653"/>
      <w:r>
        <w:rPr>
          <w:rFonts w:hint="eastAsia"/>
        </w:rPr>
        <w:t>10.1.2 建立各部门协调联动机制</w:t>
      </w:r>
      <w:bookmarkEnd w:id="338"/>
    </w:p>
    <w:p>
      <w:pPr>
        <w:pStyle w:val="2"/>
        <w:ind w:firstLine="560"/>
        <w:rPr>
          <w:rFonts w:hint="eastAsia"/>
        </w:rPr>
      </w:pPr>
      <w:r>
        <w:rPr>
          <w:rFonts w:hint="eastAsia"/>
        </w:rPr>
        <w:t>建立推进</w:t>
      </w:r>
      <w:r>
        <w:rPr>
          <w:rFonts w:hint="eastAsia"/>
          <w:lang w:eastAsia="zh-CN"/>
        </w:rPr>
        <w:t>区</w:t>
      </w:r>
      <w:r>
        <w:rPr>
          <w:rFonts w:hint="eastAsia"/>
        </w:rPr>
        <w:t>城基础设施投融资体制改革联席会议制度，定期召开联席会议，统筹协调相关重大事项。</w:t>
      </w:r>
      <w:r>
        <w:rPr>
          <w:rFonts w:hint="eastAsia"/>
          <w:lang w:eastAsia="zh-CN"/>
        </w:rPr>
        <w:t>区</w:t>
      </w:r>
      <w:r>
        <w:rPr>
          <w:rFonts w:hint="eastAsia"/>
        </w:rPr>
        <w:t>住建局负责研究制定推进</w:t>
      </w:r>
      <w:r>
        <w:rPr>
          <w:rFonts w:hint="eastAsia"/>
          <w:lang w:eastAsia="zh-CN"/>
        </w:rPr>
        <w:t>区</w:t>
      </w:r>
      <w:r>
        <w:rPr>
          <w:rFonts w:hint="eastAsia"/>
        </w:rPr>
        <w:t>城基础设施建设投融资等支持政策；</w:t>
      </w:r>
      <w:r>
        <w:rPr>
          <w:rFonts w:hint="eastAsia"/>
          <w:lang w:eastAsia="zh-CN"/>
        </w:rPr>
        <w:t>区</w:t>
      </w:r>
      <w:r>
        <w:rPr>
          <w:rFonts w:hint="eastAsia"/>
        </w:rPr>
        <w:t>财政局负责督促落实项目建设财政配套资金；</w:t>
      </w:r>
      <w:r>
        <w:rPr>
          <w:rFonts w:hint="eastAsia"/>
          <w:lang w:eastAsia="zh-CN"/>
        </w:rPr>
        <w:t>区</w:t>
      </w:r>
      <w:r>
        <w:rPr>
          <w:rFonts w:hint="eastAsia"/>
        </w:rPr>
        <w:t>住建局、重点局负责牵头制定建设计划，并负责项目的统筹协调和督促推进；</w:t>
      </w:r>
      <w:r>
        <w:rPr>
          <w:rFonts w:hint="eastAsia"/>
          <w:lang w:eastAsia="zh-CN"/>
        </w:rPr>
        <w:t>区</w:t>
      </w:r>
      <w:r>
        <w:rPr>
          <w:rFonts w:hint="eastAsia"/>
        </w:rPr>
        <w:t>交通局负责牵头制定交通基础设施建设计划，承担项目的规划、建设和行业管理职责；</w:t>
      </w:r>
      <w:r>
        <w:rPr>
          <w:rFonts w:hint="eastAsia"/>
          <w:lang w:eastAsia="zh-CN"/>
        </w:rPr>
        <w:t>区</w:t>
      </w:r>
      <w:r>
        <w:rPr>
          <w:rFonts w:hint="eastAsia"/>
        </w:rPr>
        <w:t>发改委会同</w:t>
      </w:r>
      <w:r>
        <w:rPr>
          <w:rFonts w:hint="eastAsia"/>
          <w:lang w:eastAsia="zh-CN"/>
        </w:rPr>
        <w:t>区</w:t>
      </w:r>
      <w:r>
        <w:rPr>
          <w:rFonts w:hint="eastAsia"/>
        </w:rPr>
        <w:t>住建局负责做好项目的前期研究和论证评审工作，研究落实重大PPP项目。</w:t>
      </w:r>
    </w:p>
    <w:p>
      <w:pPr>
        <w:pStyle w:val="7"/>
        <w:rPr>
          <w:rFonts w:hint="eastAsia"/>
        </w:rPr>
      </w:pPr>
      <w:bookmarkStart w:id="339" w:name="_Toc17657"/>
      <w:bookmarkEnd w:id="339"/>
      <w:bookmarkStart w:id="340" w:name="_Toc455387204"/>
      <w:bookmarkEnd w:id="340"/>
      <w:bookmarkStart w:id="341" w:name="_Toc29072_WPSOffice_Level2"/>
      <w:bookmarkStart w:id="342" w:name="_Toc25418_WPSOffice_Level2"/>
      <w:r>
        <w:rPr>
          <w:rFonts w:hint="eastAsia"/>
        </w:rPr>
        <w:t>10.2资金保障</w:t>
      </w:r>
      <w:bookmarkEnd w:id="341"/>
      <w:bookmarkEnd w:id="342"/>
    </w:p>
    <w:p>
      <w:pPr>
        <w:pStyle w:val="7"/>
        <w:rPr>
          <w:rFonts w:hint="eastAsia"/>
        </w:rPr>
      </w:pPr>
      <w:bookmarkStart w:id="343" w:name="_Toc31278"/>
      <w:r>
        <w:rPr>
          <w:rFonts w:hint="eastAsia"/>
        </w:rPr>
        <w:t>10.2.1合理实行污水处理收费制度</w:t>
      </w:r>
      <w:bookmarkEnd w:id="343"/>
    </w:p>
    <w:p>
      <w:pPr>
        <w:pStyle w:val="2"/>
        <w:ind w:firstLine="560"/>
        <w:rPr>
          <w:rFonts w:hint="eastAsia"/>
        </w:rPr>
      </w:pPr>
      <w:r>
        <w:rPr>
          <w:rFonts w:hint="eastAsia"/>
        </w:rPr>
        <w:t>随着污水处理设施建设与运行的规范化，污水处理成本也不断提高，污水处理质量和能力的提高也会受到资金投入的制约。因此应按照“谁排放污水谁支付处理费用”的原则，对各乡镇盈利性单位和企业开征污水处理费，既能增加一部分污水处理经费，又能促使污水排放单位采取措施减少污水排放量。鉴于</w:t>
      </w:r>
      <w:r>
        <w:rPr>
          <w:rFonts w:hint="eastAsia"/>
          <w:lang w:eastAsia="zh-CN"/>
        </w:rPr>
        <w:t>友好区</w:t>
      </w:r>
      <w:r>
        <w:rPr>
          <w:rFonts w:hint="eastAsia"/>
        </w:rPr>
        <w:t>实际情况，制定污水处理收费制度和标准。采取合适的收费方式以规范收缴程序，降低收费成本、提高收取率。</w:t>
      </w:r>
    </w:p>
    <w:p>
      <w:pPr>
        <w:pStyle w:val="7"/>
        <w:rPr>
          <w:rFonts w:hint="eastAsia"/>
        </w:rPr>
      </w:pPr>
      <w:bookmarkStart w:id="344" w:name="_Toc22674"/>
      <w:r>
        <w:rPr>
          <w:rFonts w:hint="eastAsia"/>
        </w:rPr>
        <w:t>10.2.2资金筹措方案</w:t>
      </w:r>
      <w:bookmarkEnd w:id="344"/>
    </w:p>
    <w:p>
      <w:pPr>
        <w:pStyle w:val="2"/>
        <w:ind w:firstLine="560"/>
        <w:rPr>
          <w:rFonts w:hint="eastAsia"/>
        </w:rPr>
      </w:pPr>
      <w:r>
        <w:rPr>
          <w:rFonts w:hint="eastAsia"/>
        </w:rPr>
        <w:t>一、通过行业资源整合，构建</w:t>
      </w:r>
      <w:r>
        <w:rPr>
          <w:rFonts w:hint="eastAsia"/>
          <w:lang w:eastAsia="zh-CN"/>
        </w:rPr>
        <w:t>区</w:t>
      </w:r>
      <w:r>
        <w:rPr>
          <w:rFonts w:hint="eastAsia"/>
        </w:rPr>
        <w:t>城基础设施投融资平台，为</w:t>
      </w:r>
      <w:r>
        <w:rPr>
          <w:rFonts w:hint="eastAsia"/>
          <w:lang w:eastAsia="zh-CN"/>
        </w:rPr>
        <w:t>区</w:t>
      </w:r>
      <w:r>
        <w:rPr>
          <w:rFonts w:hint="eastAsia"/>
        </w:rPr>
        <w:t>城基础设施建设和发展筹集资金。对经营性</w:t>
      </w:r>
      <w:r>
        <w:rPr>
          <w:rFonts w:hint="eastAsia"/>
          <w:lang w:eastAsia="zh-CN"/>
        </w:rPr>
        <w:t>区</w:t>
      </w:r>
      <w:r>
        <w:rPr>
          <w:rFonts w:hint="eastAsia"/>
        </w:rPr>
        <w:t>城基础设施中由政府投资形成的经营权、股权，按有关规定进行出让、转让，实现多元化投资经营。整合、盘活存量资产所回收资金纳入国有资本经营预算，按照全</w:t>
      </w:r>
      <w:r>
        <w:rPr>
          <w:rFonts w:hint="eastAsia"/>
          <w:lang w:eastAsia="zh-CN"/>
        </w:rPr>
        <w:t>区</w:t>
      </w:r>
      <w:r>
        <w:rPr>
          <w:rFonts w:hint="eastAsia"/>
        </w:rPr>
        <w:t>统一规划，用于非经营性和有经营收入但不足以回收成本的基础设施项目的建设和运营。</w:t>
      </w:r>
    </w:p>
    <w:p>
      <w:pPr>
        <w:pStyle w:val="2"/>
        <w:ind w:firstLine="560"/>
        <w:rPr>
          <w:rFonts w:hint="eastAsia"/>
        </w:rPr>
      </w:pPr>
      <w:r>
        <w:rPr>
          <w:rFonts w:hint="eastAsia"/>
        </w:rPr>
        <w:t>二、按照项目属性分类和高校规范、风险可控、可持续发展的要求，完善落实平衡政策，多渠道筹措资金，做到资金保障与建设计划同步落实。对生活污水处理等建设通过收费、营运及政府赋予相应补偿政策的准经营性项目，主要有各投资主体采用市场化方式筹措解决，并对专项收费实行财政“收支两条线”管理，保证专款专用和对市场化投融资提供支持，不足部分由政府赋予相应平衡政策，</w:t>
      </w:r>
      <w:r>
        <w:rPr>
          <w:rFonts w:hint="eastAsia"/>
          <w:lang w:eastAsia="zh-CN"/>
        </w:rPr>
        <w:t>区</w:t>
      </w:r>
      <w:r>
        <w:rPr>
          <w:rFonts w:hint="eastAsia"/>
        </w:rPr>
        <w:t>财政根据规定给予补贴。</w:t>
      </w:r>
    </w:p>
    <w:p>
      <w:pPr>
        <w:pStyle w:val="2"/>
        <w:ind w:firstLine="560"/>
        <w:rPr>
          <w:rFonts w:hint="eastAsia"/>
        </w:rPr>
      </w:pPr>
      <w:r>
        <w:rPr>
          <w:rFonts w:hint="eastAsia"/>
        </w:rPr>
        <w:t>三、继续发挥银行信贷的主渠道作用，积极与银行等金融机构开展多种形式合作，与金融机构共同研究创新金融产品，扩大金融机构在项目建设、管理和运营商的信贷投放量。</w:t>
      </w:r>
    </w:p>
    <w:p>
      <w:pPr>
        <w:pStyle w:val="2"/>
        <w:ind w:firstLine="560"/>
        <w:rPr>
          <w:rFonts w:hint="eastAsia"/>
        </w:rPr>
      </w:pPr>
      <w:r>
        <w:rPr>
          <w:rFonts w:hint="eastAsia"/>
        </w:rPr>
        <w:t>四、加强国有资本管理，整合国有资产和资本，鼓励采用特许经营权转染、资产经营转让、收费权转让、资产证券化以及股权转让和出售等多种方式，盘活存量资产，筹集建设资金。</w:t>
      </w:r>
    </w:p>
    <w:p>
      <w:pPr>
        <w:pStyle w:val="7"/>
        <w:rPr>
          <w:rFonts w:hint="eastAsia"/>
        </w:rPr>
      </w:pPr>
      <w:bookmarkStart w:id="345" w:name="_Toc6445"/>
      <w:bookmarkEnd w:id="345"/>
      <w:bookmarkStart w:id="346" w:name="_Toc455387205"/>
      <w:bookmarkEnd w:id="346"/>
      <w:bookmarkStart w:id="347" w:name="_Toc32252_WPSOffice_Level2"/>
      <w:bookmarkStart w:id="348" w:name="_Toc7405_WPSOffice_Level2"/>
      <w:r>
        <w:rPr>
          <w:rFonts w:hint="eastAsia"/>
        </w:rPr>
        <w:t>10.3技术保障</w:t>
      </w:r>
      <w:bookmarkEnd w:id="347"/>
      <w:bookmarkEnd w:id="348"/>
    </w:p>
    <w:p>
      <w:pPr>
        <w:pStyle w:val="7"/>
        <w:rPr>
          <w:rFonts w:hint="eastAsia"/>
        </w:rPr>
      </w:pPr>
      <w:bookmarkStart w:id="349" w:name="_Toc15215"/>
      <w:r>
        <w:rPr>
          <w:rFonts w:hint="eastAsia"/>
        </w:rPr>
        <w:t>10.3.1积极开展污水管理教育工作</w:t>
      </w:r>
      <w:bookmarkEnd w:id="349"/>
    </w:p>
    <w:p>
      <w:pPr>
        <w:pStyle w:val="2"/>
        <w:ind w:firstLine="560"/>
        <w:rPr>
          <w:rFonts w:hint="eastAsia"/>
        </w:rPr>
      </w:pPr>
      <w:r>
        <w:rPr>
          <w:rFonts w:hint="eastAsia"/>
        </w:rPr>
        <w:t>以提高社会文明水平为根本，将宣传教育工作作为一项战略任务，提高加强公众保护水源意识的对策和措施，争取全社会的支持。</w:t>
      </w:r>
    </w:p>
    <w:p>
      <w:pPr>
        <w:pStyle w:val="2"/>
        <w:ind w:firstLine="560"/>
        <w:rPr>
          <w:rFonts w:hint="eastAsia"/>
        </w:rPr>
      </w:pPr>
      <w:r>
        <w:rPr>
          <w:rFonts w:hint="eastAsia"/>
        </w:rPr>
        <w:t>扩大节水、节能的群众基础，研究公众参与率、覆盖率和有效率的具体措施。</w:t>
      </w:r>
    </w:p>
    <w:p>
      <w:pPr>
        <w:pStyle w:val="7"/>
        <w:rPr>
          <w:rFonts w:hint="eastAsia"/>
        </w:rPr>
      </w:pPr>
      <w:bookmarkStart w:id="350" w:name="_Toc26171"/>
      <w:r>
        <w:rPr>
          <w:rFonts w:hint="eastAsia"/>
        </w:rPr>
        <w:t>10.3.2加强污水处理专业队伍建设</w:t>
      </w:r>
      <w:bookmarkEnd w:id="350"/>
    </w:p>
    <w:p>
      <w:pPr>
        <w:pStyle w:val="2"/>
        <w:ind w:firstLine="560"/>
        <w:rPr>
          <w:rFonts w:hint="eastAsia"/>
        </w:rPr>
      </w:pPr>
      <w:r>
        <w:rPr>
          <w:rFonts w:hint="eastAsia"/>
        </w:rPr>
        <w:t>提高从业人员素质，改进专业人才结构。应充实给排水、环境工程或相近专业的专门技术人员或管理人员。通过脱产或不脱产进修、岗位培训和自学成才等多种形式提高职工的文化程度和专业技能。</w:t>
      </w:r>
    </w:p>
    <w:p>
      <w:pPr>
        <w:pStyle w:val="2"/>
        <w:ind w:firstLine="560"/>
        <w:rPr>
          <w:rFonts w:hint="eastAsia"/>
        </w:rPr>
      </w:pPr>
      <w:r>
        <w:rPr>
          <w:rFonts w:hint="eastAsia"/>
        </w:rPr>
        <w:t>定期组织集中培训，提高污水处理设施操作人员的操作技能和业务水平，培训人员经考核合格后，由污水管理部门统一发放操作工上岗证，并要求今后在进行污水处理设施操作时必须持证上岗。</w:t>
      </w:r>
    </w:p>
    <w:p>
      <w:pPr>
        <w:pStyle w:val="7"/>
        <w:rPr>
          <w:rFonts w:hint="eastAsia"/>
        </w:rPr>
      </w:pPr>
      <w:bookmarkStart w:id="351" w:name="_Toc14290"/>
      <w:r>
        <w:rPr>
          <w:rFonts w:hint="eastAsia"/>
        </w:rPr>
        <w:t>10.3.3建立和完善技术标准和评估体系</w:t>
      </w:r>
      <w:bookmarkEnd w:id="351"/>
    </w:p>
    <w:p>
      <w:pPr>
        <w:pStyle w:val="2"/>
        <w:ind w:firstLine="560"/>
        <w:rPr>
          <w:rFonts w:hint="eastAsia"/>
        </w:rPr>
      </w:pPr>
      <w:r>
        <w:rPr>
          <w:rFonts w:hint="eastAsia"/>
        </w:rPr>
        <w:t>污水处理技术适用性不仅取决于技术本身，还取决于经济适用条件和环境标准要求。目前</w:t>
      </w:r>
      <w:r>
        <w:rPr>
          <w:rFonts w:hint="eastAsia"/>
          <w:lang w:eastAsia="zh-CN"/>
        </w:rPr>
        <w:t>友好区</w:t>
      </w:r>
      <w:r>
        <w:rPr>
          <w:rFonts w:hint="eastAsia"/>
        </w:rPr>
        <w:t>污水无害化处理的技术标准体系还不够健全，建立完善的污水处理技术标准体系和评估体系，可以客观地评价各种处理技术水平，指导并促进</w:t>
      </w:r>
      <w:r>
        <w:rPr>
          <w:rFonts w:hint="eastAsia"/>
          <w:lang w:eastAsia="zh-CN"/>
        </w:rPr>
        <w:t>友好区</w:t>
      </w:r>
      <w:r>
        <w:rPr>
          <w:rFonts w:hint="eastAsia"/>
        </w:rPr>
        <w:t>污水处理的健康发展和向常态化高标准的先进污水管理方向发展。</w:t>
      </w:r>
    </w:p>
    <w:p>
      <w:pPr>
        <w:pStyle w:val="7"/>
        <w:rPr>
          <w:rFonts w:hint="eastAsia"/>
        </w:rPr>
      </w:pPr>
      <w:bookmarkStart w:id="352" w:name="_Toc8966"/>
      <w:r>
        <w:rPr>
          <w:rFonts w:hint="eastAsia"/>
        </w:rPr>
        <w:t>10.3.4规范基础资料的积累与管理</w:t>
      </w:r>
      <w:bookmarkEnd w:id="352"/>
    </w:p>
    <w:p>
      <w:pPr>
        <w:pStyle w:val="2"/>
        <w:ind w:firstLine="560"/>
        <w:rPr>
          <w:rFonts w:hint="eastAsia"/>
        </w:rPr>
      </w:pPr>
      <w:r>
        <w:rPr>
          <w:rFonts w:hint="eastAsia"/>
        </w:rPr>
        <w:t>规范污水产生量、处理量日统计报表等基础资料的积累，每年做一次污水成分调查，建立污水管理机污水处理技术档案。收集积累国内外同类污水处理场站建设及污水处理的经验和基础数据资料。</w:t>
      </w:r>
    </w:p>
    <w:p>
      <w:pPr>
        <w:pStyle w:val="7"/>
        <w:rPr>
          <w:rFonts w:hint="eastAsia"/>
        </w:rPr>
      </w:pPr>
      <w:bookmarkStart w:id="353" w:name="_Toc455387206"/>
      <w:bookmarkEnd w:id="353"/>
      <w:bookmarkStart w:id="354" w:name="_Toc9396"/>
      <w:bookmarkEnd w:id="354"/>
      <w:bookmarkStart w:id="355" w:name="_Toc18669_WPSOffice_Level2"/>
      <w:r>
        <w:rPr>
          <w:rFonts w:hint="eastAsia"/>
        </w:rPr>
        <w:t>10.4法律保障</w:t>
      </w:r>
      <w:bookmarkEnd w:id="355"/>
    </w:p>
    <w:p>
      <w:pPr>
        <w:pStyle w:val="2"/>
        <w:ind w:firstLine="560"/>
      </w:pPr>
      <w:r>
        <w:rPr>
          <w:rFonts w:hint="eastAsia"/>
        </w:rPr>
        <w:t>加强改进地方立法工作，要把提高立法质量摆在更加突出的位置，为</w:t>
      </w:r>
      <w:r>
        <w:rPr>
          <w:rFonts w:hint="eastAsia"/>
          <w:lang w:eastAsia="zh-CN"/>
        </w:rPr>
        <w:t>友好区</w:t>
      </w:r>
      <w:r>
        <w:rPr>
          <w:rFonts w:hint="eastAsia"/>
        </w:rPr>
        <w:t>污水规划的实施提供法律保障，进一步发挥人大常委会在地方立法中的主导作用，加强创造性和自主性立法，突出各乡镇特色，增强地方性法律的适用性和可操作性。要继续开展立法后评价工作，保障法规观测的实效性。要坚持民主立法，更加重视公民对地方立法的有序参与，采取听证会、论证会和社会公示等形式，广泛地集中民智、反映民意，扩大立法的民主程度，提高地方立法质量。</w:t>
      </w:r>
    </w:p>
    <w:p>
      <w:pPr>
        <w:pStyle w:val="2"/>
        <w:ind w:firstLine="560"/>
      </w:pPr>
    </w:p>
    <w:p>
      <w:pPr>
        <w:pStyle w:val="2"/>
        <w:ind w:firstLine="560"/>
      </w:pPr>
    </w:p>
    <w:p>
      <w:pPr>
        <w:pStyle w:val="2"/>
        <w:ind w:firstLine="560"/>
      </w:pPr>
    </w:p>
    <w:p>
      <w:pPr>
        <w:pStyle w:val="2"/>
        <w:ind w:firstLine="560"/>
      </w:pPr>
    </w:p>
    <w:p>
      <w:pPr>
        <w:pStyle w:val="2"/>
        <w:ind w:firstLine="560"/>
      </w:pPr>
    </w:p>
    <w:p>
      <w:pPr>
        <w:pStyle w:val="2"/>
        <w:ind w:firstLine="560"/>
      </w:pPr>
    </w:p>
    <w:p>
      <w:pPr>
        <w:pStyle w:val="2"/>
        <w:ind w:firstLine="560"/>
      </w:pPr>
    </w:p>
    <w:p>
      <w:pPr>
        <w:pStyle w:val="2"/>
        <w:ind w:firstLine="560"/>
      </w:pPr>
    </w:p>
    <w:p>
      <w:pPr>
        <w:pStyle w:val="2"/>
        <w:ind w:firstLine="560"/>
      </w:pPr>
    </w:p>
    <w:p>
      <w:pPr>
        <w:pStyle w:val="2"/>
        <w:ind w:firstLine="560"/>
      </w:pPr>
    </w:p>
    <w:p>
      <w:pPr>
        <w:pStyle w:val="2"/>
        <w:ind w:firstLine="560"/>
      </w:pPr>
    </w:p>
    <w:p>
      <w:pPr>
        <w:pStyle w:val="2"/>
        <w:ind w:firstLine="560"/>
      </w:pPr>
    </w:p>
    <w:p>
      <w:pPr>
        <w:pStyle w:val="2"/>
        <w:ind w:firstLine="560"/>
      </w:pPr>
    </w:p>
    <w:p>
      <w:pPr>
        <w:pStyle w:val="2"/>
        <w:ind w:firstLine="560"/>
      </w:pPr>
    </w:p>
    <w:p>
      <w:pPr>
        <w:pStyle w:val="2"/>
        <w:ind w:firstLine="560"/>
      </w:pPr>
    </w:p>
    <w:p>
      <w:pPr>
        <w:pStyle w:val="2"/>
        <w:ind w:firstLine="560"/>
      </w:pPr>
    </w:p>
    <w:p>
      <w:pPr>
        <w:pStyle w:val="2"/>
        <w:ind w:firstLine="560"/>
      </w:pPr>
    </w:p>
    <w:p>
      <w:pPr>
        <w:pStyle w:val="2"/>
        <w:ind w:firstLine="560"/>
      </w:pPr>
    </w:p>
    <w:p>
      <w:pPr>
        <w:pStyle w:val="2"/>
        <w:ind w:firstLine="560"/>
      </w:pPr>
    </w:p>
    <w:p>
      <w:pPr>
        <w:pStyle w:val="2"/>
        <w:ind w:firstLine="560"/>
      </w:pPr>
    </w:p>
    <w:p>
      <w:pPr>
        <w:pStyle w:val="2"/>
        <w:ind w:firstLine="560"/>
      </w:pPr>
    </w:p>
    <w:p>
      <w:pPr>
        <w:pStyle w:val="2"/>
        <w:ind w:firstLine="560"/>
      </w:pPr>
    </w:p>
    <w:p>
      <w:pPr>
        <w:pStyle w:val="2"/>
        <w:ind w:firstLine="560"/>
      </w:pPr>
    </w:p>
    <w:p>
      <w:pPr>
        <w:pStyle w:val="2"/>
        <w:ind w:firstLine="560"/>
      </w:pPr>
    </w:p>
    <w:p>
      <w:pPr>
        <w:pStyle w:val="2"/>
        <w:ind w:firstLine="560"/>
        <w:sectPr>
          <w:footerReference r:id="rId6" w:type="default"/>
          <w:type w:val="continuous"/>
          <w:pgSz w:w="23814" w:h="16840" w:orient="landscape"/>
          <w:pgMar w:top="1797" w:right="1418" w:bottom="1418" w:left="1418" w:header="851" w:footer="992" w:gutter="0"/>
          <w:pgBorders>
            <w:top w:val="none" w:sz="0" w:space="0"/>
            <w:left w:val="none" w:sz="0" w:space="0"/>
            <w:bottom w:val="none" w:sz="0" w:space="0"/>
            <w:right w:val="none" w:sz="0" w:space="0"/>
          </w:pgBorders>
          <w:cols w:equalWidth="0" w:num="2">
            <w:col w:w="10276" w:space="425"/>
            <w:col w:w="10276"/>
          </w:cols>
          <w:docGrid w:linePitch="312" w:charSpace="0"/>
        </w:sectPr>
      </w:pPr>
    </w:p>
    <w:p>
      <w:pPr>
        <w:spacing w:before="120" w:beforeLines="50" w:after="120" w:afterLines="50" w:line="360" w:lineRule="auto"/>
        <w:ind w:firstLine="16705" w:firstLineChars="3200"/>
        <w:rPr>
          <w:rFonts w:hint="eastAsia" w:ascii="楷体" w:hAnsi="楷体" w:eastAsia="楷体" w:cs="楷体"/>
          <w:b/>
          <w:i/>
          <w:iCs/>
          <w:sz w:val="52"/>
          <w:szCs w:val="52"/>
          <w:u w:val="single"/>
        </w:rPr>
      </w:pPr>
      <w:r>
        <w:rPr>
          <w:rFonts w:hint="eastAsia" w:ascii="楷体" w:hAnsi="楷体" w:eastAsia="楷体" w:cs="楷体"/>
          <w:b/>
          <w:i/>
          <w:iCs/>
          <w:sz w:val="52"/>
          <w:szCs w:val="52"/>
          <w:u w:val="single"/>
        </w:rPr>
        <w:t>第二部分  附件</w:t>
      </w:r>
    </w:p>
    <w:p>
      <w:pPr>
        <w:spacing w:before="120" w:beforeLines="50" w:after="120" w:afterLines="50" w:line="360" w:lineRule="auto"/>
        <w:jc w:val="right"/>
        <w:outlineLvl w:val="0"/>
        <w:rPr>
          <w:rFonts w:hint="eastAsia" w:ascii="楷体" w:hAnsi="楷体" w:eastAsia="楷体" w:cs="楷体"/>
          <w:b/>
          <w:sz w:val="32"/>
          <w:szCs w:val="32"/>
        </w:rPr>
      </w:pPr>
      <w:bookmarkStart w:id="356" w:name="_Toc13034"/>
      <w:bookmarkStart w:id="357" w:name="_Toc15806"/>
      <w:bookmarkStart w:id="358" w:name="_Toc32378"/>
      <w:bookmarkStart w:id="359" w:name="_Toc4550"/>
      <w:bookmarkStart w:id="360" w:name="_Toc25759"/>
      <w:bookmarkStart w:id="361" w:name="_Toc13017"/>
      <w:bookmarkStart w:id="362" w:name="_Toc16087"/>
      <w:bookmarkStart w:id="363" w:name="_Toc19665"/>
      <w:bookmarkStart w:id="364" w:name="_Toc15359"/>
      <w:bookmarkStart w:id="365" w:name="_Toc23003"/>
      <w:r>
        <w:rPr>
          <w:rFonts w:hint="eastAsia" w:ascii="楷体" w:hAnsi="楷体" w:eastAsia="楷体" w:cs="楷体"/>
          <w:sz w:val="32"/>
          <w:szCs w:val="32"/>
          <w:lang w:eastAsia="zh-CN"/>
        </w:rPr>
        <w:t>友好区区域农村生活污水治理专项规划</w:t>
      </w:r>
      <w:r>
        <w:rPr>
          <w:rFonts w:hint="eastAsia" w:ascii="楷体" w:hAnsi="楷体" w:eastAsia="楷体" w:cs="楷体"/>
          <w:sz w:val="32"/>
          <w:szCs w:val="32"/>
        </w:rPr>
        <w:t>（2020-2030）</w:t>
      </w:r>
      <w:bookmarkEnd w:id="356"/>
      <w:bookmarkEnd w:id="357"/>
      <w:bookmarkEnd w:id="358"/>
      <w:bookmarkEnd w:id="359"/>
      <w:bookmarkEnd w:id="360"/>
      <w:bookmarkEnd w:id="361"/>
      <w:bookmarkEnd w:id="362"/>
      <w:bookmarkEnd w:id="363"/>
      <w:bookmarkEnd w:id="364"/>
      <w:bookmarkEnd w:id="365"/>
    </w:p>
    <w:p>
      <w:pPr>
        <w:jc w:val="left"/>
        <w:outlineLvl w:val="0"/>
        <w:rPr>
          <w:rFonts w:hint="eastAsia"/>
        </w:rPr>
      </w:pPr>
      <w:r>
        <w:rPr>
          <w:rFonts w:hint="eastAsia"/>
          <w:b/>
          <w:sz w:val="32"/>
          <w:szCs w:val="32"/>
        </w:rPr>
        <w:br w:type="page"/>
      </w:r>
      <w:bookmarkStart w:id="366" w:name="_Toc24873"/>
      <w:bookmarkStart w:id="367" w:name="_Toc32554"/>
      <w:bookmarkStart w:id="368" w:name="_Toc10274"/>
      <w:bookmarkStart w:id="369" w:name="_Toc4884"/>
      <w:bookmarkStart w:id="370" w:name="_Toc17659"/>
      <w:r>
        <w:rPr>
          <w:rStyle w:val="61"/>
          <w:rFonts w:hint="eastAsia"/>
        </w:rPr>
        <w:t>附件一：</w:t>
      </w:r>
      <w:r>
        <w:rPr>
          <w:rStyle w:val="61"/>
          <w:rFonts w:hint="eastAsia" w:eastAsia="宋体"/>
          <w:lang w:eastAsia="zh-CN"/>
        </w:rPr>
        <w:t>友好区</w:t>
      </w:r>
      <w:r>
        <w:rPr>
          <w:rStyle w:val="61"/>
          <w:rFonts w:hint="eastAsia"/>
        </w:rPr>
        <w:t>行政区划图</w:t>
      </w:r>
      <w:bookmarkEnd w:id="366"/>
      <w:bookmarkEnd w:id="367"/>
      <w:bookmarkEnd w:id="368"/>
      <w:bookmarkEnd w:id="369"/>
      <w:bookmarkEnd w:id="370"/>
    </w:p>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lang w:eastAsia="zh-CN"/>
        </w:rPr>
      </w:pPr>
      <w:r>
        <w:rPr>
          <w:rFonts w:hint="eastAsia" w:eastAsia="宋体"/>
          <w:lang w:eastAsia="zh-CN"/>
        </w:rPr>
        <w:drawing>
          <wp:inline distT="0" distB="0" distL="114300" distR="114300">
            <wp:extent cx="8315960" cy="8829675"/>
            <wp:effectExtent l="0" t="0" r="9525" b="5080"/>
            <wp:docPr id="5" name="图片 53" descr="友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3" descr="友好1"/>
                    <pic:cNvPicPr>
                      <a:picLocks noChangeAspect="1"/>
                    </pic:cNvPicPr>
                  </pic:nvPicPr>
                  <pic:blipFill>
                    <a:blip r:embed="rId12"/>
                    <a:srcRect t="14015" b="10928"/>
                    <a:stretch>
                      <a:fillRect/>
                    </a:stretch>
                  </pic:blipFill>
                  <pic:spPr>
                    <a:xfrm rot="-5400000">
                      <a:off x="0" y="0"/>
                      <a:ext cx="8315960" cy="8829675"/>
                    </a:xfrm>
                    <a:prstGeom prst="rect">
                      <a:avLst/>
                    </a:prstGeom>
                    <a:noFill/>
                    <a:ln>
                      <a:noFill/>
                    </a:ln>
                  </pic:spPr>
                </pic:pic>
              </a:graphicData>
            </a:graphic>
          </wp:inline>
        </w:drawing>
      </w:r>
    </w:p>
    <w:p>
      <w:pPr>
        <w:jc w:val="left"/>
        <w:outlineLvl w:val="0"/>
        <w:rPr>
          <w:rStyle w:val="61"/>
          <w:rFonts w:hint="eastAsia"/>
        </w:rPr>
      </w:pPr>
      <w:bookmarkStart w:id="371" w:name="_Toc14747"/>
      <w:bookmarkStart w:id="372" w:name="_Toc15321"/>
      <w:bookmarkStart w:id="373" w:name="_Toc26777"/>
      <w:bookmarkStart w:id="374" w:name="_Toc5473"/>
      <w:bookmarkStart w:id="375" w:name="_Toc3462"/>
      <w:r>
        <w:rPr>
          <w:rStyle w:val="61"/>
          <w:rFonts w:hint="eastAsia"/>
        </w:rPr>
        <w:t>附件二：</w:t>
      </w:r>
      <w:r>
        <w:rPr>
          <w:rStyle w:val="61"/>
          <w:rFonts w:hint="eastAsia" w:eastAsia="宋体"/>
          <w:lang w:eastAsia="zh-CN"/>
        </w:rPr>
        <w:t>友好区</w:t>
      </w:r>
      <w:r>
        <w:rPr>
          <w:rStyle w:val="61"/>
          <w:rFonts w:hint="eastAsia"/>
        </w:rPr>
        <w:t>生态敏感区划图</w:t>
      </w:r>
      <w:bookmarkEnd w:id="371"/>
      <w:bookmarkEnd w:id="372"/>
      <w:bookmarkEnd w:id="373"/>
      <w:bookmarkEnd w:id="374"/>
      <w:bookmarkEnd w:id="375"/>
    </w:p>
    <w:p>
      <w:pPr>
        <w:jc w:val="center"/>
        <w:outlineLvl w:val="9"/>
        <w:rPr>
          <w:rFonts w:hint="eastAsia" w:eastAsia="宋体"/>
          <w:lang w:eastAsia="zh-CN"/>
        </w:rPr>
      </w:pPr>
      <w:r>
        <w:rPr>
          <w:rFonts w:hint="eastAsia" w:eastAsia="宋体"/>
          <w:lang w:eastAsia="zh-CN"/>
        </w:rPr>
        <w:drawing>
          <wp:inline distT="0" distB="0" distL="114300" distR="114300">
            <wp:extent cx="12274550" cy="8153400"/>
            <wp:effectExtent l="0" t="0" r="8890" b="0"/>
            <wp:docPr id="6" name="图片 54" descr="友好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4" descr="友好2"/>
                    <pic:cNvPicPr>
                      <a:picLocks noChangeAspect="1"/>
                    </pic:cNvPicPr>
                  </pic:nvPicPr>
                  <pic:blipFill>
                    <a:blip r:embed="rId13"/>
                    <a:stretch>
                      <a:fillRect/>
                    </a:stretch>
                  </pic:blipFill>
                  <pic:spPr>
                    <a:xfrm>
                      <a:off x="0" y="0"/>
                      <a:ext cx="12274550" cy="8153400"/>
                    </a:xfrm>
                    <a:prstGeom prst="rect">
                      <a:avLst/>
                    </a:prstGeom>
                    <a:noFill/>
                    <a:ln>
                      <a:noFill/>
                    </a:ln>
                  </pic:spPr>
                </pic:pic>
              </a:graphicData>
            </a:graphic>
          </wp:inline>
        </w:drawing>
      </w:r>
    </w:p>
    <w:p>
      <w:pPr>
        <w:jc w:val="center"/>
        <w:rPr>
          <w:rFonts w:hint="eastAsia" w:eastAsia="宋体"/>
          <w:lang w:eastAsia="zh-CN"/>
        </w:rPr>
        <w:sectPr>
          <w:type w:val="continuous"/>
          <w:pgSz w:w="23814" w:h="16840" w:orient="landscape"/>
          <w:pgMar w:top="1797" w:right="1418" w:bottom="1418" w:left="1418" w:header="851" w:footer="992" w:gutter="0"/>
          <w:pgBorders>
            <w:top w:val="none" w:sz="0" w:space="0"/>
            <w:left w:val="none" w:sz="0" w:space="0"/>
            <w:bottom w:val="none" w:sz="0" w:space="0"/>
            <w:right w:val="none" w:sz="0" w:space="0"/>
          </w:pgBorders>
          <w:cols w:space="720" w:num="1"/>
          <w:docGrid w:linePitch="312" w:charSpace="0"/>
        </w:sectPr>
      </w:pPr>
    </w:p>
    <w:p>
      <w:pPr>
        <w:jc w:val="center"/>
        <w:rPr>
          <w:rFonts w:hint="eastAsia" w:eastAsia="宋体"/>
          <w:lang w:eastAsia="zh-CN"/>
        </w:rPr>
      </w:pPr>
    </w:p>
    <w:p>
      <w:pPr>
        <w:jc w:val="left"/>
        <w:outlineLvl w:val="0"/>
        <w:rPr>
          <w:rStyle w:val="61"/>
          <w:rFonts w:hint="eastAsia"/>
        </w:rPr>
      </w:pPr>
      <w:bookmarkStart w:id="376" w:name="_Toc28735"/>
      <w:bookmarkStart w:id="377" w:name="_Toc9830"/>
      <w:bookmarkStart w:id="378" w:name="_Toc7102"/>
      <w:bookmarkStart w:id="379" w:name="_Toc20207"/>
      <w:bookmarkStart w:id="380" w:name="_Toc19623"/>
      <w:r>
        <w:rPr>
          <w:rStyle w:val="61"/>
          <w:rFonts w:hint="eastAsia"/>
        </w:rPr>
        <w:t>附件</w:t>
      </w:r>
      <w:r>
        <w:rPr>
          <w:rStyle w:val="61"/>
          <w:rFonts w:hint="eastAsia" w:eastAsia="宋体"/>
          <w:lang w:val="en-US" w:eastAsia="zh-CN"/>
        </w:rPr>
        <w:t>三</w:t>
      </w:r>
      <w:r>
        <w:rPr>
          <w:rStyle w:val="61"/>
          <w:rFonts w:hint="eastAsia"/>
        </w:rPr>
        <w:t>：</w:t>
      </w:r>
      <w:r>
        <w:rPr>
          <w:rStyle w:val="61"/>
          <w:rFonts w:hint="eastAsia" w:eastAsia="宋体"/>
          <w:lang w:eastAsia="zh-CN"/>
        </w:rPr>
        <w:t>友好区</w:t>
      </w:r>
      <w:r>
        <w:rPr>
          <w:rStyle w:val="61"/>
          <w:rFonts w:hint="eastAsia"/>
        </w:rPr>
        <w:t>农村污水处理设施规划总图</w:t>
      </w:r>
      <w:bookmarkEnd w:id="376"/>
      <w:bookmarkEnd w:id="377"/>
      <w:bookmarkEnd w:id="378"/>
      <w:bookmarkEnd w:id="379"/>
      <w:bookmarkEnd w:id="380"/>
    </w:p>
    <w:p>
      <w:pPr>
        <w:pStyle w:val="2"/>
        <w:spacing w:line="240" w:lineRule="auto"/>
        <w:ind w:firstLine="560"/>
        <w:jc w:val="center"/>
        <w:rPr>
          <w:rFonts w:hint="eastAsia" w:eastAsia="宋体"/>
          <w:lang w:eastAsia="zh-CN"/>
        </w:rPr>
      </w:pPr>
      <w:r>
        <w:rPr>
          <w:rFonts w:hint="eastAsia" w:eastAsia="宋体"/>
          <w:lang w:eastAsia="zh-CN"/>
        </w:rPr>
        <w:drawing>
          <wp:inline distT="0" distB="0" distL="114300" distR="114300">
            <wp:extent cx="12498705" cy="8303260"/>
            <wp:effectExtent l="0" t="0" r="13335" b="2540"/>
            <wp:docPr id="7" name="图片 55" descr="友好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5" descr="友好3-1"/>
                    <pic:cNvPicPr>
                      <a:picLocks noChangeAspect="1"/>
                    </pic:cNvPicPr>
                  </pic:nvPicPr>
                  <pic:blipFill>
                    <a:blip r:embed="rId14"/>
                    <a:stretch>
                      <a:fillRect/>
                    </a:stretch>
                  </pic:blipFill>
                  <pic:spPr>
                    <a:xfrm>
                      <a:off x="0" y="0"/>
                      <a:ext cx="12498705" cy="8303260"/>
                    </a:xfrm>
                    <a:prstGeom prst="rect">
                      <a:avLst/>
                    </a:prstGeom>
                    <a:noFill/>
                    <a:ln>
                      <a:noFill/>
                    </a:ln>
                  </pic:spPr>
                </pic:pic>
              </a:graphicData>
            </a:graphic>
          </wp:inline>
        </w:drawing>
      </w:r>
    </w:p>
    <w:p>
      <w:pPr>
        <w:jc w:val="left"/>
        <w:outlineLvl w:val="0"/>
        <w:rPr>
          <w:rFonts w:hint="eastAsia"/>
        </w:rPr>
      </w:pPr>
      <w:bookmarkStart w:id="381" w:name="_Toc8653"/>
      <w:bookmarkStart w:id="382" w:name="_Toc26778"/>
      <w:bookmarkStart w:id="383" w:name="_Toc13851"/>
      <w:bookmarkStart w:id="384" w:name="_Toc9618"/>
      <w:bookmarkStart w:id="385" w:name="_Toc12427"/>
      <w:r>
        <w:rPr>
          <w:rStyle w:val="61"/>
          <w:rFonts w:hint="eastAsia"/>
        </w:rPr>
        <w:t>附件</w:t>
      </w:r>
      <w:r>
        <w:rPr>
          <w:rStyle w:val="61"/>
          <w:rFonts w:hint="eastAsia" w:eastAsia="宋体"/>
          <w:lang w:val="en-US" w:eastAsia="zh-CN"/>
        </w:rPr>
        <w:t>四</w:t>
      </w:r>
      <w:r>
        <w:rPr>
          <w:rStyle w:val="61"/>
          <w:rFonts w:hint="eastAsia"/>
        </w:rPr>
        <w:t>：统计表</w:t>
      </w:r>
      <w:bookmarkEnd w:id="381"/>
      <w:bookmarkEnd w:id="382"/>
      <w:bookmarkEnd w:id="383"/>
      <w:bookmarkEnd w:id="384"/>
      <w:bookmarkEnd w:id="385"/>
    </w:p>
    <w:tbl>
      <w:tblPr>
        <w:tblStyle w:val="41"/>
        <w:tblW w:w="20409" w:type="dxa"/>
        <w:jc w:val="center"/>
        <w:tblLayout w:type="fixed"/>
        <w:tblCellMar>
          <w:top w:w="0" w:type="dxa"/>
          <w:left w:w="0" w:type="dxa"/>
          <w:bottom w:w="0" w:type="dxa"/>
          <w:right w:w="0" w:type="dxa"/>
        </w:tblCellMar>
      </w:tblPr>
      <w:tblGrid>
        <w:gridCol w:w="1059"/>
        <w:gridCol w:w="1299"/>
        <w:gridCol w:w="980"/>
        <w:gridCol w:w="980"/>
        <w:gridCol w:w="981"/>
        <w:gridCol w:w="1060"/>
        <w:gridCol w:w="1060"/>
        <w:gridCol w:w="1060"/>
        <w:gridCol w:w="1060"/>
        <w:gridCol w:w="1616"/>
        <w:gridCol w:w="1351"/>
        <w:gridCol w:w="4723"/>
        <w:gridCol w:w="1060"/>
        <w:gridCol w:w="1060"/>
        <w:gridCol w:w="1060"/>
      </w:tblGrid>
      <w:tr>
        <w:tblPrEx>
          <w:tblCellMar>
            <w:top w:w="0" w:type="dxa"/>
            <w:left w:w="0" w:type="dxa"/>
            <w:bottom w:w="0" w:type="dxa"/>
            <w:right w:w="0" w:type="dxa"/>
          </w:tblCellMar>
        </w:tblPrEx>
        <w:trPr>
          <w:trHeight w:val="289" w:hRule="atLeast"/>
          <w:jc w:val="center"/>
        </w:trPr>
        <w:tc>
          <w:tcPr>
            <w:tcW w:w="105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行政村</w:t>
            </w:r>
          </w:p>
        </w:tc>
        <w:tc>
          <w:tcPr>
            <w:tcW w:w="129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自然屯</w:t>
            </w:r>
          </w:p>
        </w:tc>
        <w:tc>
          <w:tcPr>
            <w:tcW w:w="98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default"/>
                <w:lang w:val="en-US"/>
              </w:rPr>
            </w:pPr>
            <w:r>
              <w:rPr>
                <w:rFonts w:hint="eastAsia"/>
                <w:lang w:val="en-US" w:eastAsia="zh-CN"/>
              </w:rPr>
              <w:t>现状人口/人</w:t>
            </w:r>
          </w:p>
        </w:tc>
        <w:tc>
          <w:tcPr>
            <w:tcW w:w="98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近期人口/人</w:t>
            </w:r>
          </w:p>
        </w:tc>
        <w:tc>
          <w:tcPr>
            <w:tcW w:w="98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远期人口/人</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default"/>
                <w:lang w:val="en-US"/>
              </w:rPr>
            </w:pPr>
            <w:r>
              <w:rPr>
                <w:rFonts w:hint="eastAsia"/>
                <w:lang w:val="en-US" w:eastAsia="zh-CN"/>
              </w:rPr>
              <w:t>排水规模/m</w:t>
            </w:r>
            <w:r>
              <w:rPr>
                <w:rFonts w:hint="eastAsia"/>
                <w:vertAlign w:val="superscript"/>
                <w:lang w:val="en-US" w:eastAsia="zh-CN"/>
              </w:rPr>
              <w:t>3</w:t>
            </w:r>
            <w:r>
              <w:rPr>
                <w:rFonts w:hint="eastAsia"/>
                <w:lang w:val="en-US" w:eastAsia="zh-CN"/>
              </w:rPr>
              <w:t>/d</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排水规模/m</w:t>
            </w:r>
            <w:r>
              <w:rPr>
                <w:rFonts w:hint="eastAsia"/>
                <w:vertAlign w:val="superscript"/>
                <w:lang w:val="en-US" w:eastAsia="zh-CN"/>
              </w:rPr>
              <w:t>3</w:t>
            </w:r>
            <w:r>
              <w:rPr>
                <w:rFonts w:hint="eastAsia"/>
                <w:lang w:val="en-US" w:eastAsia="zh-CN"/>
              </w:rPr>
              <w:t>/d</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排水规模/m</w:t>
            </w:r>
            <w:r>
              <w:rPr>
                <w:rFonts w:hint="eastAsia"/>
                <w:vertAlign w:val="superscript"/>
                <w:lang w:val="en-US" w:eastAsia="zh-CN"/>
              </w:rPr>
              <w:t>3</w:t>
            </w:r>
            <w:r>
              <w:rPr>
                <w:rFonts w:hint="eastAsia"/>
                <w:lang w:val="en-US" w:eastAsia="zh-CN"/>
              </w:rPr>
              <w:t>/d</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近远期</w:t>
            </w:r>
          </w:p>
        </w:tc>
        <w:tc>
          <w:tcPr>
            <w:tcW w:w="161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治理模式</w:t>
            </w:r>
          </w:p>
        </w:tc>
        <w:tc>
          <w:tcPr>
            <w:tcW w:w="135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排水去向</w:t>
            </w:r>
          </w:p>
        </w:tc>
        <w:tc>
          <w:tcPr>
            <w:tcW w:w="472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排放标准</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处理规模（近期）</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处理规模（远期）</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建设位置</w:t>
            </w:r>
          </w:p>
        </w:tc>
      </w:tr>
      <w:tr>
        <w:tblPrEx>
          <w:tblCellMar>
            <w:top w:w="0" w:type="dxa"/>
            <w:left w:w="0" w:type="dxa"/>
            <w:bottom w:w="0" w:type="dxa"/>
            <w:right w:w="0" w:type="dxa"/>
          </w:tblCellMar>
        </w:tblPrEx>
        <w:trPr>
          <w:trHeight w:val="289" w:hRule="atLeast"/>
          <w:jc w:val="center"/>
        </w:trPr>
        <w:tc>
          <w:tcPr>
            <w:tcW w:w="105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青山村</w:t>
            </w:r>
          </w:p>
        </w:tc>
        <w:tc>
          <w:tcPr>
            <w:tcW w:w="129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1队</w:t>
            </w:r>
          </w:p>
        </w:tc>
        <w:tc>
          <w:tcPr>
            <w:tcW w:w="98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70</w:t>
            </w:r>
          </w:p>
        </w:tc>
        <w:tc>
          <w:tcPr>
            <w:tcW w:w="98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 xml:space="preserve">65 </w:t>
            </w:r>
          </w:p>
        </w:tc>
        <w:tc>
          <w:tcPr>
            <w:tcW w:w="98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 xml:space="preserve">61 </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 xml:space="preserve">2.24 </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 xml:space="preserve">4.69 </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 xml:space="preserve">4.36 </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近期</w:t>
            </w:r>
          </w:p>
        </w:tc>
        <w:tc>
          <w:tcPr>
            <w:tcW w:w="161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有效管控</w:t>
            </w:r>
          </w:p>
        </w:tc>
        <w:tc>
          <w:tcPr>
            <w:tcW w:w="135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资源化利用</w:t>
            </w:r>
          </w:p>
        </w:tc>
        <w:tc>
          <w:tcPr>
            <w:tcW w:w="472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《农田灌溉水质标准》（GB5084-2005）</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w:t>
            </w:r>
          </w:p>
        </w:tc>
      </w:tr>
      <w:tr>
        <w:tblPrEx>
          <w:tblCellMar>
            <w:top w:w="0" w:type="dxa"/>
            <w:left w:w="0" w:type="dxa"/>
            <w:bottom w:w="0" w:type="dxa"/>
            <w:right w:w="0" w:type="dxa"/>
          </w:tblCellMar>
        </w:tblPrEx>
        <w:trPr>
          <w:trHeight w:val="289" w:hRule="atLeast"/>
          <w:jc w:val="center"/>
        </w:trPr>
        <w:tc>
          <w:tcPr>
            <w:tcW w:w="105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青山村</w:t>
            </w:r>
          </w:p>
        </w:tc>
        <w:tc>
          <w:tcPr>
            <w:tcW w:w="129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2队</w:t>
            </w:r>
          </w:p>
        </w:tc>
        <w:tc>
          <w:tcPr>
            <w:tcW w:w="98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150</w:t>
            </w:r>
          </w:p>
        </w:tc>
        <w:tc>
          <w:tcPr>
            <w:tcW w:w="98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 xml:space="preserve">140 </w:t>
            </w:r>
          </w:p>
        </w:tc>
        <w:tc>
          <w:tcPr>
            <w:tcW w:w="98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 xml:space="preserve">130 </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 xml:space="preserve">4.80 </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 xml:space="preserve">10.05 </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 xml:space="preserve">9.35 </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近期</w:t>
            </w:r>
          </w:p>
        </w:tc>
        <w:tc>
          <w:tcPr>
            <w:tcW w:w="161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有效管控</w:t>
            </w:r>
          </w:p>
        </w:tc>
        <w:tc>
          <w:tcPr>
            <w:tcW w:w="135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资源化利用</w:t>
            </w:r>
          </w:p>
        </w:tc>
        <w:tc>
          <w:tcPr>
            <w:tcW w:w="472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《农田灌溉水质标准》（GB5084-2005）</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w:t>
            </w:r>
          </w:p>
        </w:tc>
      </w:tr>
      <w:tr>
        <w:tblPrEx>
          <w:tblCellMar>
            <w:top w:w="0" w:type="dxa"/>
            <w:left w:w="0" w:type="dxa"/>
            <w:bottom w:w="0" w:type="dxa"/>
            <w:right w:w="0" w:type="dxa"/>
          </w:tblCellMar>
        </w:tblPrEx>
        <w:trPr>
          <w:trHeight w:val="289" w:hRule="atLeast"/>
          <w:jc w:val="center"/>
        </w:trPr>
        <w:tc>
          <w:tcPr>
            <w:tcW w:w="105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青山村</w:t>
            </w:r>
          </w:p>
        </w:tc>
        <w:tc>
          <w:tcPr>
            <w:tcW w:w="129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3队</w:t>
            </w:r>
          </w:p>
        </w:tc>
        <w:tc>
          <w:tcPr>
            <w:tcW w:w="98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74</w:t>
            </w:r>
          </w:p>
        </w:tc>
        <w:tc>
          <w:tcPr>
            <w:tcW w:w="98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 xml:space="preserve">69 </w:t>
            </w:r>
          </w:p>
        </w:tc>
        <w:tc>
          <w:tcPr>
            <w:tcW w:w="98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 xml:space="preserve">64 </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 xml:space="preserve">2.37 </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 xml:space="preserve">4.96 </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 xml:space="preserve">4.61 </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近期</w:t>
            </w:r>
          </w:p>
        </w:tc>
        <w:tc>
          <w:tcPr>
            <w:tcW w:w="161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有效管控</w:t>
            </w:r>
          </w:p>
        </w:tc>
        <w:tc>
          <w:tcPr>
            <w:tcW w:w="135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资源化利用</w:t>
            </w:r>
          </w:p>
        </w:tc>
        <w:tc>
          <w:tcPr>
            <w:tcW w:w="472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《农田灌溉水质标准》（GB5084-2005）</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w:t>
            </w:r>
          </w:p>
        </w:tc>
      </w:tr>
      <w:tr>
        <w:tblPrEx>
          <w:tblCellMar>
            <w:top w:w="0" w:type="dxa"/>
            <w:left w:w="0" w:type="dxa"/>
            <w:bottom w:w="0" w:type="dxa"/>
            <w:right w:w="0" w:type="dxa"/>
          </w:tblCellMar>
        </w:tblPrEx>
        <w:trPr>
          <w:trHeight w:val="289" w:hRule="atLeast"/>
          <w:jc w:val="center"/>
        </w:trPr>
        <w:tc>
          <w:tcPr>
            <w:tcW w:w="105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爱国村</w:t>
            </w:r>
          </w:p>
        </w:tc>
        <w:tc>
          <w:tcPr>
            <w:tcW w:w="129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1队</w:t>
            </w:r>
          </w:p>
        </w:tc>
        <w:tc>
          <w:tcPr>
            <w:tcW w:w="98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35</w:t>
            </w:r>
          </w:p>
        </w:tc>
        <w:tc>
          <w:tcPr>
            <w:tcW w:w="98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 xml:space="preserve">33 </w:t>
            </w:r>
          </w:p>
        </w:tc>
        <w:tc>
          <w:tcPr>
            <w:tcW w:w="98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 xml:space="preserve">30 </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 xml:space="preserve">1.12 </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 xml:space="preserve">2.34 </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 xml:space="preserve">2.18 </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近期</w:t>
            </w:r>
          </w:p>
        </w:tc>
        <w:tc>
          <w:tcPr>
            <w:tcW w:w="161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有效管控</w:t>
            </w:r>
          </w:p>
        </w:tc>
        <w:tc>
          <w:tcPr>
            <w:tcW w:w="135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资源化利用</w:t>
            </w:r>
          </w:p>
        </w:tc>
        <w:tc>
          <w:tcPr>
            <w:tcW w:w="472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《农田灌溉水质标准》（GB5084-2005）</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w:t>
            </w:r>
          </w:p>
        </w:tc>
      </w:tr>
      <w:tr>
        <w:tblPrEx>
          <w:tblCellMar>
            <w:top w:w="0" w:type="dxa"/>
            <w:left w:w="0" w:type="dxa"/>
            <w:bottom w:w="0" w:type="dxa"/>
            <w:right w:w="0" w:type="dxa"/>
          </w:tblCellMar>
        </w:tblPrEx>
        <w:trPr>
          <w:trHeight w:val="289" w:hRule="atLeast"/>
          <w:jc w:val="center"/>
        </w:trPr>
        <w:tc>
          <w:tcPr>
            <w:tcW w:w="105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爱国村</w:t>
            </w:r>
          </w:p>
        </w:tc>
        <w:tc>
          <w:tcPr>
            <w:tcW w:w="129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2队</w:t>
            </w:r>
          </w:p>
        </w:tc>
        <w:tc>
          <w:tcPr>
            <w:tcW w:w="98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110</w:t>
            </w:r>
          </w:p>
        </w:tc>
        <w:tc>
          <w:tcPr>
            <w:tcW w:w="98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 xml:space="preserve">102 </w:t>
            </w:r>
          </w:p>
        </w:tc>
        <w:tc>
          <w:tcPr>
            <w:tcW w:w="98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 xml:space="preserve">95 </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 xml:space="preserve">3.52 </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 xml:space="preserve">7.37 </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 xml:space="preserve">6.86 </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近期</w:t>
            </w:r>
          </w:p>
        </w:tc>
        <w:tc>
          <w:tcPr>
            <w:tcW w:w="161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有效管控</w:t>
            </w:r>
          </w:p>
        </w:tc>
        <w:tc>
          <w:tcPr>
            <w:tcW w:w="135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资源化利用</w:t>
            </w:r>
          </w:p>
        </w:tc>
        <w:tc>
          <w:tcPr>
            <w:tcW w:w="472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《农田灌溉水质标准》（GB5084-2005）</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w:t>
            </w:r>
          </w:p>
        </w:tc>
      </w:tr>
      <w:tr>
        <w:tblPrEx>
          <w:tblCellMar>
            <w:top w:w="0" w:type="dxa"/>
            <w:left w:w="0" w:type="dxa"/>
            <w:bottom w:w="0" w:type="dxa"/>
            <w:right w:w="0" w:type="dxa"/>
          </w:tblCellMar>
        </w:tblPrEx>
        <w:trPr>
          <w:trHeight w:val="289" w:hRule="atLeast"/>
          <w:jc w:val="center"/>
        </w:trPr>
        <w:tc>
          <w:tcPr>
            <w:tcW w:w="105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曙光村</w:t>
            </w:r>
          </w:p>
        </w:tc>
        <w:tc>
          <w:tcPr>
            <w:tcW w:w="129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1队</w:t>
            </w:r>
          </w:p>
        </w:tc>
        <w:tc>
          <w:tcPr>
            <w:tcW w:w="98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48</w:t>
            </w:r>
          </w:p>
        </w:tc>
        <w:tc>
          <w:tcPr>
            <w:tcW w:w="98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 xml:space="preserve">45 </w:t>
            </w:r>
          </w:p>
        </w:tc>
        <w:tc>
          <w:tcPr>
            <w:tcW w:w="98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 xml:space="preserve">42 </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 xml:space="preserve">1.54 </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 xml:space="preserve">3.22 </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 xml:space="preserve">2.99 </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近期</w:t>
            </w:r>
          </w:p>
        </w:tc>
        <w:tc>
          <w:tcPr>
            <w:tcW w:w="161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有效管控</w:t>
            </w:r>
          </w:p>
        </w:tc>
        <w:tc>
          <w:tcPr>
            <w:tcW w:w="135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资源化利用</w:t>
            </w:r>
          </w:p>
        </w:tc>
        <w:tc>
          <w:tcPr>
            <w:tcW w:w="472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《农田灌溉水质标准》（GB5084-2005）</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w:t>
            </w:r>
          </w:p>
        </w:tc>
      </w:tr>
      <w:tr>
        <w:tblPrEx>
          <w:tblCellMar>
            <w:top w:w="0" w:type="dxa"/>
            <w:left w:w="0" w:type="dxa"/>
            <w:bottom w:w="0" w:type="dxa"/>
            <w:right w:w="0" w:type="dxa"/>
          </w:tblCellMar>
        </w:tblPrEx>
        <w:trPr>
          <w:trHeight w:val="289" w:hRule="atLeast"/>
          <w:jc w:val="center"/>
        </w:trPr>
        <w:tc>
          <w:tcPr>
            <w:tcW w:w="105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曙光村</w:t>
            </w:r>
          </w:p>
        </w:tc>
        <w:tc>
          <w:tcPr>
            <w:tcW w:w="129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2队</w:t>
            </w:r>
          </w:p>
        </w:tc>
        <w:tc>
          <w:tcPr>
            <w:tcW w:w="98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112</w:t>
            </w:r>
          </w:p>
        </w:tc>
        <w:tc>
          <w:tcPr>
            <w:tcW w:w="98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 xml:space="preserve">104 </w:t>
            </w:r>
          </w:p>
        </w:tc>
        <w:tc>
          <w:tcPr>
            <w:tcW w:w="98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 xml:space="preserve">97 </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 xml:space="preserve">3.58 </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 xml:space="preserve">7.50 </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 xml:space="preserve">6.98 </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近期</w:t>
            </w:r>
          </w:p>
        </w:tc>
        <w:tc>
          <w:tcPr>
            <w:tcW w:w="161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有效管控</w:t>
            </w:r>
          </w:p>
        </w:tc>
        <w:tc>
          <w:tcPr>
            <w:tcW w:w="135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资源化利用</w:t>
            </w:r>
          </w:p>
        </w:tc>
        <w:tc>
          <w:tcPr>
            <w:tcW w:w="472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《农田灌溉水质标准》（GB5084-2005）</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default"/>
              </w:rPr>
            </w:pPr>
            <w:r>
              <w:rPr>
                <w:rFonts w:hint="eastAsia"/>
                <w:lang w:val="en-US" w:eastAsia="zh-CN"/>
              </w:rPr>
              <w:t>/</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default"/>
              </w:rPr>
            </w:pPr>
            <w:r>
              <w:rPr>
                <w:rFonts w:hint="eastAsia"/>
                <w:lang w:val="en-US" w:eastAsia="zh-CN"/>
              </w:rPr>
              <w:t>/</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w:t>
            </w:r>
          </w:p>
        </w:tc>
      </w:tr>
      <w:tr>
        <w:tblPrEx>
          <w:tblCellMar>
            <w:top w:w="0" w:type="dxa"/>
            <w:left w:w="0" w:type="dxa"/>
            <w:bottom w:w="0" w:type="dxa"/>
            <w:right w:w="0" w:type="dxa"/>
          </w:tblCellMar>
        </w:tblPrEx>
        <w:trPr>
          <w:trHeight w:val="289" w:hRule="atLeast"/>
          <w:jc w:val="center"/>
        </w:trPr>
        <w:tc>
          <w:tcPr>
            <w:tcW w:w="105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曙光村</w:t>
            </w:r>
          </w:p>
        </w:tc>
        <w:tc>
          <w:tcPr>
            <w:tcW w:w="129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3队</w:t>
            </w:r>
          </w:p>
        </w:tc>
        <w:tc>
          <w:tcPr>
            <w:tcW w:w="98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58</w:t>
            </w:r>
          </w:p>
        </w:tc>
        <w:tc>
          <w:tcPr>
            <w:tcW w:w="98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 xml:space="preserve">54 </w:t>
            </w:r>
          </w:p>
        </w:tc>
        <w:tc>
          <w:tcPr>
            <w:tcW w:w="98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 xml:space="preserve">50 </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 xml:space="preserve">1.86 </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 xml:space="preserve">3.89 </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 xml:space="preserve">3.62 </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近期</w:t>
            </w:r>
          </w:p>
        </w:tc>
        <w:tc>
          <w:tcPr>
            <w:tcW w:w="161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有效管控</w:t>
            </w:r>
          </w:p>
        </w:tc>
        <w:tc>
          <w:tcPr>
            <w:tcW w:w="135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资源化利用</w:t>
            </w:r>
          </w:p>
        </w:tc>
        <w:tc>
          <w:tcPr>
            <w:tcW w:w="472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《农田灌溉水质标准》（GB5084-2005）</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w:t>
            </w:r>
          </w:p>
        </w:tc>
      </w:tr>
      <w:tr>
        <w:tblPrEx>
          <w:tblCellMar>
            <w:top w:w="0" w:type="dxa"/>
            <w:left w:w="0" w:type="dxa"/>
            <w:bottom w:w="0" w:type="dxa"/>
            <w:right w:w="0" w:type="dxa"/>
          </w:tblCellMar>
        </w:tblPrEx>
        <w:trPr>
          <w:trHeight w:val="289" w:hRule="atLeast"/>
          <w:jc w:val="center"/>
        </w:trPr>
        <w:tc>
          <w:tcPr>
            <w:tcW w:w="105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曙光村</w:t>
            </w:r>
          </w:p>
        </w:tc>
        <w:tc>
          <w:tcPr>
            <w:tcW w:w="129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4队</w:t>
            </w:r>
          </w:p>
        </w:tc>
        <w:tc>
          <w:tcPr>
            <w:tcW w:w="98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68</w:t>
            </w:r>
          </w:p>
        </w:tc>
        <w:tc>
          <w:tcPr>
            <w:tcW w:w="98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 xml:space="preserve">63 </w:t>
            </w:r>
          </w:p>
        </w:tc>
        <w:tc>
          <w:tcPr>
            <w:tcW w:w="98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 xml:space="preserve">59 </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 xml:space="preserve">2.18 </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 xml:space="preserve">4.56 </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 xml:space="preserve">4.24 </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近期</w:t>
            </w:r>
          </w:p>
        </w:tc>
        <w:tc>
          <w:tcPr>
            <w:tcW w:w="161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有效管控</w:t>
            </w:r>
          </w:p>
        </w:tc>
        <w:tc>
          <w:tcPr>
            <w:tcW w:w="135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资源化利用</w:t>
            </w:r>
          </w:p>
        </w:tc>
        <w:tc>
          <w:tcPr>
            <w:tcW w:w="472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《农田灌溉水质标准》（GB5084-2005）</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default"/>
              </w:rPr>
            </w:pPr>
            <w:r>
              <w:rPr>
                <w:rFonts w:hint="eastAsia"/>
                <w:lang w:val="en-US" w:eastAsia="zh-CN"/>
              </w:rPr>
              <w:t>/</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default"/>
              </w:rPr>
            </w:pPr>
            <w:r>
              <w:rPr>
                <w:rFonts w:hint="eastAsia"/>
                <w:lang w:val="en-US" w:eastAsia="zh-CN"/>
              </w:rPr>
              <w:t>/</w:t>
            </w:r>
          </w:p>
        </w:tc>
        <w:tc>
          <w:tcPr>
            <w:tcW w:w="10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25"/>
              <w:bidi w:val="0"/>
              <w:rPr>
                <w:rFonts w:hint="eastAsia"/>
              </w:rPr>
            </w:pPr>
            <w:r>
              <w:rPr>
                <w:rFonts w:hint="eastAsia"/>
                <w:lang w:val="en-US" w:eastAsia="zh-CN"/>
              </w:rPr>
              <w:t>/</w:t>
            </w:r>
          </w:p>
        </w:tc>
      </w:tr>
    </w:tbl>
    <w:p>
      <w:pPr>
        <w:jc w:val="left"/>
        <w:outlineLvl w:val="0"/>
        <w:rPr>
          <w:rFonts w:hint="default" w:eastAsia="宋体"/>
          <w:lang w:val="en-US" w:eastAsia="zh-CN"/>
        </w:rPr>
      </w:pPr>
      <w:bookmarkStart w:id="386" w:name="_Toc21072"/>
      <w:bookmarkStart w:id="387" w:name="_Toc17775"/>
      <w:r>
        <w:rPr>
          <w:rStyle w:val="61"/>
          <w:rFonts w:hint="eastAsia"/>
        </w:rPr>
        <w:br w:type="column"/>
      </w:r>
      <w:r>
        <w:rPr>
          <w:rStyle w:val="61"/>
          <w:rFonts w:hint="eastAsia"/>
        </w:rPr>
        <w:t>附件</w:t>
      </w:r>
      <w:r>
        <w:rPr>
          <w:rStyle w:val="61"/>
          <w:rFonts w:hint="eastAsia" w:eastAsia="宋体"/>
          <w:lang w:val="en-US" w:eastAsia="zh-CN"/>
        </w:rPr>
        <w:t>五</w:t>
      </w:r>
      <w:r>
        <w:rPr>
          <w:rStyle w:val="61"/>
          <w:rFonts w:hint="eastAsia"/>
        </w:rPr>
        <w:t>：</w:t>
      </w:r>
      <w:r>
        <w:rPr>
          <w:rStyle w:val="61"/>
          <w:rFonts w:hint="eastAsia" w:eastAsia="宋体"/>
          <w:lang w:val="en-US" w:eastAsia="zh-CN"/>
        </w:rPr>
        <w:t>规划调整说明</w:t>
      </w:r>
      <w:bookmarkEnd w:id="386"/>
      <w:bookmarkEnd w:id="387"/>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lang w:eastAsia="zh-CN"/>
        </w:rPr>
      </w:pPr>
      <w:r>
        <w:rPr>
          <w:rFonts w:hint="eastAsia" w:eastAsia="宋体"/>
          <w:lang w:eastAsia="zh-CN"/>
        </w:rPr>
        <w:drawing>
          <wp:inline distT="0" distB="0" distL="114300" distR="114300">
            <wp:extent cx="5370195" cy="8371840"/>
            <wp:effectExtent l="0" t="0" r="9525" b="10160"/>
            <wp:docPr id="8" name="图片 58" descr="8912f19b64604318912c3e524f85e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8" descr="8912f19b64604318912c3e524f85ef3"/>
                    <pic:cNvPicPr>
                      <a:picLocks noChangeAspect="1"/>
                    </pic:cNvPicPr>
                  </pic:nvPicPr>
                  <pic:blipFill>
                    <a:blip r:embed="rId15"/>
                    <a:stretch>
                      <a:fillRect/>
                    </a:stretch>
                  </pic:blipFill>
                  <pic:spPr>
                    <a:xfrm>
                      <a:off x="0" y="0"/>
                      <a:ext cx="5370195" cy="8371840"/>
                    </a:xfrm>
                    <a:prstGeom prst="rect">
                      <a:avLst/>
                    </a:prstGeom>
                    <a:noFill/>
                    <a:ln>
                      <a:noFill/>
                    </a:ln>
                  </pic:spPr>
                </pic:pic>
              </a:graphicData>
            </a:graphic>
          </wp:inline>
        </w:drawing>
      </w:r>
    </w:p>
    <w:sectPr>
      <w:type w:val="continuous"/>
      <w:pgSz w:w="23814" w:h="16840" w:orient="landscape"/>
      <w:pgMar w:top="1797" w:right="1418" w:bottom="1418" w:left="1418" w:header="851" w:footer="992"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PMingLiU">
    <w:altName w:val="Microsoft JhengHei UI"/>
    <w:panose1 w:val="02010601000101010101"/>
    <w:charset w:val="88"/>
    <w:family w:val="roman"/>
    <w:pitch w:val="default"/>
    <w:sig w:usb0="00000000" w:usb1="00000000" w:usb2="00000016" w:usb3="00000000" w:csb0="00100001" w:csb1="00000000"/>
  </w:font>
  <w:font w:name="仿宋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Ђˎ̥">
    <w:altName w:val="Times New Roman"/>
    <w:panose1 w:val="00000000000000000000"/>
    <w:charset w:val="00"/>
    <w:family w:val="roman"/>
    <w:pitch w:val="default"/>
    <w:sig w:usb0="00000000" w:usb1="00000000" w:usb2="00000000" w:usb3="00000000" w:csb0="00040001" w:csb1="00000000"/>
  </w:font>
  <w:font w:name="华文新魏">
    <w:panose1 w:val="02010800040101010101"/>
    <w:charset w:val="86"/>
    <w:family w:val="auto"/>
    <w:pitch w:val="default"/>
    <w:sig w:usb0="00000001" w:usb1="080F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mc:AlternateContent>
        <mc:Choice Requires="wps">
          <w:drawing>
            <wp:anchor distT="0" distB="0" distL="114300" distR="114300" simplePos="0" relativeHeight="251659264" behindDoc="0" locked="0" layoutInCell="1" allowOverlap="1">
              <wp:simplePos x="0" y="0"/>
              <wp:positionH relativeFrom="page">
                <wp:posOffset>7522845</wp:posOffset>
              </wp:positionH>
              <wp:positionV relativeFrom="paragraph">
                <wp:posOffset>-9525</wp:posOffset>
              </wp:positionV>
              <wp:extent cx="1828800" cy="1828800"/>
              <wp:effectExtent l="0" t="0" r="0" b="0"/>
              <wp:wrapNone/>
              <wp:docPr id="9"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8"/>
                            <w:rPr>
                              <w:rStyle w:val="46"/>
                              <w:rFonts w:hint="eastAsia"/>
                            </w:rPr>
                          </w:pPr>
                        </w:p>
                      </w:txbxContent>
                    </wps:txbx>
                    <wps:bodyPr wrap="none" lIns="0" tIns="0" rIns="0" bIns="0" upright="0">
                      <a:spAutoFit/>
                    </wps:bodyPr>
                  </wps:wsp>
                </a:graphicData>
              </a:graphic>
            </wp:anchor>
          </w:drawing>
        </mc:Choice>
        <mc:Fallback>
          <w:pict>
            <v:shape id="文本框 1025" o:spid="_x0000_s1026" o:spt="202" type="#_x0000_t202" style="position:absolute;left:0pt;margin-left:592.35pt;margin-top:-0.75pt;height:144pt;width:144pt;mso-position-horizontal-relative:page;mso-wrap-style:none;z-index:251659264;mso-width-relative:page;mso-height-relative:page;" filled="f" stroked="f" coordsize="21600,21600" o:gfxdata="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RuN5bXAAAADAEAAA8AAAAAAAAAAQAgAAAAIgAAAGRycy9k&#10;b3ducmV2LnhtbFBLAQIUABQAAAAIAIdO4kDVwjedygEAAJwDAAAOAAAAAAAAAAEAIAAAACYBAABk&#10;cnMvZTJvRG9jLnhtbFBLBQYAAAAABgAGAFkBAABiBQAAAAA=&#10;">
              <v:fill on="f" focussize="0,0"/>
              <v:stroke on="f"/>
              <v:imagedata o:title=""/>
              <o:lock v:ext="edit" aspectratio="f"/>
              <v:textbox inset="0mm,0mm,0mm,0mm" style="mso-fit-shape-to-text:t;">
                <w:txbxContent>
                  <w:p>
                    <w:pPr>
                      <w:pStyle w:val="28"/>
                      <w:rPr>
                        <w:rStyle w:val="46"/>
                        <w:rFonts w:hint="eastAsia"/>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8"/>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wrap="none" lIns="0" tIns="0" rIns="0" bIns="0" upright="0">
                      <a:spAutoFit/>
                    </wps:bodyPr>
                  </wps:wsp>
                </a:graphicData>
              </a:graphic>
            </wp:anchor>
          </w:drawing>
        </mc:Choice>
        <mc:Fallback>
          <w:pict>
            <v:shape id="文本框 104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SKm4yyQEAAJ0DAAAOAAAAAAAAAAEAIAAAAB4BAABkcnMvZTJvRG9j&#10;LnhtbFBLBQYAAAAABgAGAFkBAABZBQAAAAA=&#10;">
              <v:fill on="f" focussize="0,0"/>
              <v:stroke on="f"/>
              <v:imagedata o:title=""/>
              <o:lock v:ext="edit" aspectratio="f"/>
              <v:textbox inset="0mm,0mm,0mm,0mm" style="mso-fit-shape-to-text:t;">
                <w:txbxContent>
                  <w:p>
                    <w:pPr>
                      <w:pStyle w:val="28"/>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page">
                <wp:posOffset>7522845</wp:posOffset>
              </wp:positionH>
              <wp:positionV relativeFrom="paragraph">
                <wp:posOffset>-9525</wp:posOffset>
              </wp:positionV>
              <wp:extent cx="1828800" cy="1828800"/>
              <wp:effectExtent l="0" t="0" r="0" b="0"/>
              <wp:wrapNone/>
              <wp:docPr id="10"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8"/>
                            <w:rPr>
                              <w:rStyle w:val="46"/>
                              <w:rFonts w:hint="eastAsia"/>
                            </w:rPr>
                          </w:pPr>
                        </w:p>
                      </w:txbxContent>
                    </wps:txbx>
                    <wps:bodyPr wrap="none" lIns="0" tIns="0" rIns="0" bIns="0" upright="0">
                      <a:spAutoFit/>
                    </wps:bodyPr>
                  </wps:wsp>
                </a:graphicData>
              </a:graphic>
            </wp:anchor>
          </w:drawing>
        </mc:Choice>
        <mc:Fallback>
          <w:pict>
            <v:shape id="文本框 1025" o:spid="_x0000_s1026" o:spt="202" type="#_x0000_t202" style="position:absolute;left:0pt;margin-left:592.35pt;margin-top:-0.75pt;height:144pt;width:144pt;mso-position-horizontal-relative:page;mso-wrap-style:none;z-index:251660288;mso-width-relative:page;mso-height-relative:page;" filled="f" stroked="f" coordsize="21600,21600" o:gfxdata="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RuN5bXAAAADAEAAA8AAAAAAAAAAQAgAAAAIgAAAGRycy9k&#10;b3ducmV2LnhtbFBLAQIUABQAAAAIAIdO4kD3fYAAygEAAJ0DAAAOAAAAAAAAAAEAIAAAACYBAABk&#10;cnMvZTJvRG9jLnhtbFBLBQYAAAAABgAGAFkBAABiBQAAAAA=&#10;">
              <v:fill on="f" focussize="0,0"/>
              <v:stroke on="f"/>
              <v:imagedata o:title=""/>
              <o:lock v:ext="edit" aspectratio="f"/>
              <v:textbox inset="0mm,0mm,0mm,0mm" style="mso-fit-shape-to-text:t;">
                <w:txbxContent>
                  <w:p>
                    <w:pPr>
                      <w:pStyle w:val="28"/>
                      <w:rPr>
                        <w:rStyle w:val="46"/>
                        <w:rFonts w:hint="eastAsia"/>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0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8"/>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20</w:t>
                          </w:r>
                          <w:r>
                            <w:rPr>
                              <w:rFonts w:hint="eastAsia"/>
                            </w:rPr>
                            <w:fldChar w:fldCharType="end"/>
                          </w:r>
                        </w:p>
                      </w:txbxContent>
                    </wps:txbx>
                    <wps:bodyPr wrap="none" lIns="0" tIns="0" rIns="0" bIns="0" upright="0">
                      <a:spAutoFit/>
                    </wps:bodyPr>
                  </wps:wsp>
                </a:graphicData>
              </a:graphic>
            </wp:anchor>
          </w:drawing>
        </mc:Choice>
        <mc:Fallback>
          <w:pict>
            <v:shape id="文本框 104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Ix/4SnLAQAAnQMAAA4AAAAAAAAAAQAgAAAAHgEAAGRycy9lMm9E&#10;b2MueG1sUEsFBgAAAAAGAAYAWQEAAFsFAAAAAA==&#10;">
              <v:fill on="f" focussize="0,0"/>
              <v:stroke on="f"/>
              <v:imagedata o:title=""/>
              <o:lock v:ext="edit" aspectratio="f"/>
              <v:textbox inset="0mm,0mm,0mm,0mm" style="mso-fit-shape-to-text:t;">
                <w:txbxContent>
                  <w:p>
                    <w:pPr>
                      <w:pStyle w:val="28"/>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20</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ascii="华文新魏" w:eastAsia="华文新魏"/>
        <w:sz w:val="24"/>
        <w:szCs w:val="24"/>
      </w:rPr>
    </w:pPr>
    <w:r>
      <w:rPr>
        <w:rFonts w:hint="eastAsia" w:ascii="华文新魏" w:eastAsia="华文新魏"/>
        <w:sz w:val="24"/>
        <w:szCs w:val="24"/>
      </w:rPr>
      <w:t xml:space="preserve">                                                                                                                      </w:t>
    </w:r>
    <w:r>
      <w:rPr>
        <w:rFonts w:hint="eastAsia" w:ascii="华文新魏" w:eastAsia="华文新魏"/>
        <w:sz w:val="24"/>
        <w:szCs w:val="24"/>
        <w:lang w:eastAsia="zh-CN"/>
      </w:rPr>
      <w:t>友好区农村生活污水治理专项规划</w:t>
    </w:r>
    <w:r>
      <w:rPr>
        <w:rFonts w:hint="eastAsia" w:ascii="华文新魏" w:eastAsia="华文新魏"/>
        <w:sz w:val="24"/>
        <w:szCs w:val="24"/>
      </w:rPr>
      <w:t xml:space="preserve">（2020-2030）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3"/>
    <w:multiLevelType w:val="multilevel"/>
    <w:tmpl w:val="00000003"/>
    <w:lvl w:ilvl="0" w:tentative="0">
      <w:start w:val="1"/>
      <w:numFmt w:val="bullet"/>
      <w:pStyle w:val="291"/>
      <w:lvlText w:val=""/>
      <w:lvlJc w:val="left"/>
      <w:pPr>
        <w:tabs>
          <w:tab w:val="left" w:pos="980"/>
        </w:tabs>
        <w:ind w:left="98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00000006"/>
    <w:multiLevelType w:val="singleLevel"/>
    <w:tmpl w:val="00000006"/>
    <w:lvl w:ilvl="0" w:tentative="0">
      <w:start w:val="1"/>
      <w:numFmt w:val="decimal"/>
      <w:pStyle w:val="310"/>
      <w:lvlText w:val="%1."/>
      <w:lvlJc w:val="left"/>
      <w:pPr>
        <w:tabs>
          <w:tab w:val="left" w:pos="964"/>
        </w:tabs>
        <w:ind w:left="964" w:hanging="397"/>
      </w:pPr>
      <w:rPr>
        <w:rFonts w:hint="eastAsia"/>
      </w:rPr>
    </w:lvl>
  </w:abstractNum>
  <w:abstractNum w:abstractNumId="2">
    <w:nsid w:val="00000010"/>
    <w:multiLevelType w:val="multilevel"/>
    <w:tmpl w:val="00000010"/>
    <w:lvl w:ilvl="0" w:tentative="0">
      <w:start w:val="2"/>
      <w:numFmt w:val="decimal"/>
      <w:lvlText w:val="%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pStyle w:val="96"/>
      <w:lvlText w:val="4.5.%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3">
    <w:nsid w:val="00000011"/>
    <w:multiLevelType w:val="multilevel"/>
    <w:tmpl w:val="00000011"/>
    <w:lvl w:ilvl="0" w:tentative="0">
      <w:start w:val="1"/>
      <w:numFmt w:val="decimal"/>
      <w:lvlText w:val="%1."/>
      <w:lvlJc w:val="left"/>
      <w:pPr>
        <w:tabs>
          <w:tab w:val="left" w:pos="307"/>
        </w:tabs>
        <w:ind w:left="307" w:hanging="194"/>
      </w:pPr>
      <w:rPr>
        <w:rFonts w:hint="eastAsia"/>
        <w:sz w:val="36"/>
      </w:rPr>
    </w:lvl>
    <w:lvl w:ilvl="1" w:tentative="0">
      <w:start w:val="1"/>
      <w:numFmt w:val="decimal"/>
      <w:pStyle w:val="200"/>
      <w:lvlText w:val="4.%2"/>
      <w:lvlJc w:val="left"/>
      <w:pPr>
        <w:tabs>
          <w:tab w:val="left" w:pos="567"/>
        </w:tabs>
        <w:ind w:left="567" w:hanging="567"/>
      </w:pPr>
      <w:rPr>
        <w:rFonts w:hint="default" w:ascii="Times New Roman" w:hAnsi="Times New Roman" w:eastAsia="宋体"/>
      </w:rPr>
    </w:lvl>
    <w:lvl w:ilvl="2" w:tentative="0">
      <w:start w:val="1"/>
      <w:numFmt w:val="decimal"/>
      <w:lvlText w:val="4.7.%3"/>
      <w:lvlJc w:val="left"/>
      <w:pPr>
        <w:tabs>
          <w:tab w:val="left" w:pos="822"/>
        </w:tabs>
        <w:ind w:left="822" w:hanging="822"/>
      </w:pPr>
      <w:rPr>
        <w:rFonts w:hint="eastAsia"/>
      </w:rPr>
    </w:lvl>
    <w:lvl w:ilvl="3" w:tentative="0">
      <w:start w:val="1"/>
      <w:numFmt w:val="decimal"/>
      <w:pStyle w:val="97"/>
      <w:lvlText w:val="%1.%2.%3.%4."/>
      <w:lvlJc w:val="left"/>
      <w:pPr>
        <w:tabs>
          <w:tab w:val="left" w:pos="964"/>
        </w:tabs>
        <w:ind w:left="964" w:hanging="964"/>
      </w:pPr>
      <w:rPr>
        <w:rFonts w:hint="default" w:ascii="Times New Roman" w:hAnsi="Times New Roman"/>
      </w:rPr>
    </w:lvl>
    <w:lvl w:ilvl="4" w:tentative="0">
      <w:start w:val="1"/>
      <w:numFmt w:val="decimal"/>
      <w:lvlText w:val="%1.%2.%3.%4.%5."/>
      <w:lvlJc w:val="left"/>
      <w:pPr>
        <w:tabs>
          <w:tab w:val="left" w:pos="1105"/>
        </w:tabs>
        <w:ind w:left="1105" w:hanging="992"/>
      </w:pPr>
      <w:rPr>
        <w:rFonts w:hint="eastAsia"/>
      </w:rPr>
    </w:lvl>
    <w:lvl w:ilvl="5" w:tentative="0">
      <w:start w:val="1"/>
      <w:numFmt w:val="decimal"/>
      <w:lvlText w:val="%1.%2.%3.%4.%5.%6."/>
      <w:lvlJc w:val="left"/>
      <w:pPr>
        <w:tabs>
          <w:tab w:val="left" w:pos="1247"/>
        </w:tabs>
        <w:ind w:left="1247" w:hanging="1134"/>
      </w:pPr>
      <w:rPr>
        <w:rFonts w:hint="eastAsia"/>
      </w:rPr>
    </w:lvl>
    <w:lvl w:ilvl="6" w:tentative="0">
      <w:start w:val="1"/>
      <w:numFmt w:val="decimal"/>
      <w:lvlText w:val="%1.%2.%3.%4.%5.%6.%7."/>
      <w:lvlJc w:val="left"/>
      <w:pPr>
        <w:tabs>
          <w:tab w:val="left" w:pos="1389"/>
        </w:tabs>
        <w:ind w:left="1389" w:hanging="1276"/>
      </w:pPr>
      <w:rPr>
        <w:rFonts w:hint="eastAsia"/>
      </w:rPr>
    </w:lvl>
    <w:lvl w:ilvl="7" w:tentative="0">
      <w:start w:val="1"/>
      <w:numFmt w:val="decimal"/>
      <w:lvlText w:val="%1.%2.%3.%4.%5.%6.%7.%8."/>
      <w:lvlJc w:val="left"/>
      <w:pPr>
        <w:tabs>
          <w:tab w:val="left" w:pos="1531"/>
        </w:tabs>
        <w:ind w:left="1531" w:hanging="1418"/>
      </w:pPr>
      <w:rPr>
        <w:rFonts w:hint="eastAsia"/>
      </w:rPr>
    </w:lvl>
    <w:lvl w:ilvl="8" w:tentative="0">
      <w:start w:val="1"/>
      <w:numFmt w:val="decimal"/>
      <w:lvlText w:val="%1.%2.%3.%4.%5.%6.%7.%8.%9."/>
      <w:lvlJc w:val="left"/>
      <w:pPr>
        <w:tabs>
          <w:tab w:val="left" w:pos="1672"/>
        </w:tabs>
        <w:ind w:left="1672" w:hanging="1559"/>
      </w:pPr>
      <w:rPr>
        <w:rFonts w:hint="eastAsia"/>
      </w:rPr>
    </w:lvl>
  </w:abstractNum>
  <w:abstractNum w:abstractNumId="4">
    <w:nsid w:val="00000013"/>
    <w:multiLevelType w:val="multilevel"/>
    <w:tmpl w:val="00000013"/>
    <w:lvl w:ilvl="0" w:tentative="0">
      <w:start w:val="1"/>
      <w:numFmt w:val="none"/>
      <w:lvlText w:val="第一章"/>
      <w:lvlJc w:val="center"/>
      <w:pPr>
        <w:tabs>
          <w:tab w:val="left" w:pos="3564"/>
        </w:tabs>
        <w:ind w:left="3245" w:firstLine="175"/>
      </w:pPr>
      <w:rPr>
        <w:rFonts w:hint="eastAsia" w:eastAsia="宋体"/>
        <w:sz w:val="44"/>
        <w:szCs w:val="44"/>
      </w:rPr>
    </w:lvl>
    <w:lvl w:ilvl="1" w:tentative="0">
      <w:start w:val="1"/>
      <w:numFmt w:val="decimal"/>
      <w:lvlText w:val="1.%2"/>
      <w:lvlJc w:val="left"/>
      <w:pPr>
        <w:tabs>
          <w:tab w:val="left" w:pos="3451"/>
        </w:tabs>
        <w:ind w:left="3403" w:hanging="2143"/>
      </w:pPr>
      <w:rPr>
        <w:rFonts w:hint="eastAsia"/>
      </w:rPr>
    </w:lvl>
    <w:lvl w:ilvl="2" w:tentative="0">
      <w:start w:val="1"/>
      <w:numFmt w:val="decimal"/>
      <w:lvlText w:val="1.2.%3"/>
      <w:lvlJc w:val="left"/>
      <w:pPr>
        <w:tabs>
          <w:tab w:val="left" w:pos="360"/>
        </w:tabs>
        <w:ind w:left="2340" w:hanging="1980"/>
      </w:pPr>
      <w:rPr>
        <w:rFonts w:hint="eastAsia"/>
        <w:sz w:val="30"/>
        <w:szCs w:val="30"/>
      </w:rPr>
    </w:lvl>
    <w:lvl w:ilvl="3" w:tentative="0">
      <w:start w:val="1"/>
      <w:numFmt w:val="decimal"/>
      <w:pStyle w:val="8"/>
      <w:lvlText w:val="%1.%2.%3.%4"/>
      <w:lvlJc w:val="left"/>
      <w:pPr>
        <w:tabs>
          <w:tab w:val="left" w:pos="1567"/>
        </w:tabs>
        <w:ind w:left="1567" w:firstLine="0"/>
      </w:pPr>
      <w:rPr>
        <w:rFonts w:hint="eastAsia"/>
      </w:rPr>
    </w:lvl>
    <w:lvl w:ilvl="4" w:tentative="0">
      <w:start w:val="1"/>
      <w:numFmt w:val="decimal"/>
      <w:pStyle w:val="9"/>
      <w:lvlText w:val="%1.%2.%3.%4.%5"/>
      <w:lvlJc w:val="left"/>
      <w:pPr>
        <w:tabs>
          <w:tab w:val="left" w:pos="2575"/>
        </w:tabs>
        <w:ind w:left="2575" w:hanging="1008"/>
      </w:pPr>
      <w:rPr>
        <w:rFonts w:hint="eastAsia"/>
      </w:rPr>
    </w:lvl>
    <w:lvl w:ilvl="5" w:tentative="0">
      <w:start w:val="1"/>
      <w:numFmt w:val="decimal"/>
      <w:pStyle w:val="10"/>
      <w:lvlText w:val="%1.%2.%3.%4.%5.%6"/>
      <w:lvlJc w:val="left"/>
      <w:pPr>
        <w:tabs>
          <w:tab w:val="left" w:pos="2719"/>
        </w:tabs>
        <w:ind w:left="2719" w:hanging="1152"/>
      </w:pPr>
      <w:rPr>
        <w:rFonts w:hint="eastAsia"/>
      </w:rPr>
    </w:lvl>
    <w:lvl w:ilvl="6" w:tentative="0">
      <w:start w:val="1"/>
      <w:numFmt w:val="decimal"/>
      <w:pStyle w:val="11"/>
      <w:lvlText w:val="%1.%2.%3.%4.%5.%6.%7"/>
      <w:lvlJc w:val="left"/>
      <w:pPr>
        <w:tabs>
          <w:tab w:val="left" w:pos="2863"/>
        </w:tabs>
        <w:ind w:left="2863" w:hanging="1296"/>
      </w:pPr>
      <w:rPr>
        <w:rFonts w:hint="eastAsia"/>
      </w:rPr>
    </w:lvl>
    <w:lvl w:ilvl="7" w:tentative="0">
      <w:start w:val="1"/>
      <w:numFmt w:val="decimal"/>
      <w:pStyle w:val="12"/>
      <w:lvlText w:val="%1.%2.%3.%4.%5.%6.%7.%8"/>
      <w:lvlJc w:val="left"/>
      <w:pPr>
        <w:tabs>
          <w:tab w:val="left" w:pos="3007"/>
        </w:tabs>
        <w:ind w:left="3007" w:hanging="1440"/>
      </w:pPr>
      <w:rPr>
        <w:rFonts w:hint="eastAsia"/>
      </w:rPr>
    </w:lvl>
    <w:lvl w:ilvl="8" w:tentative="0">
      <w:start w:val="1"/>
      <w:numFmt w:val="decimal"/>
      <w:pStyle w:val="13"/>
      <w:lvlText w:val="%1.%2.%3.%4.%5.%6.%7.%8.%9"/>
      <w:lvlJc w:val="left"/>
      <w:pPr>
        <w:tabs>
          <w:tab w:val="left" w:pos="3151"/>
        </w:tabs>
        <w:ind w:left="3151" w:hanging="1584"/>
      </w:pPr>
      <w:rPr>
        <w:rFonts w:hint="eastAsia"/>
      </w:rPr>
    </w:lvl>
  </w:abstractNum>
  <w:abstractNum w:abstractNumId="5">
    <w:nsid w:val="00000015"/>
    <w:multiLevelType w:val="multilevel"/>
    <w:tmpl w:val="00000015"/>
    <w:lvl w:ilvl="0" w:tentative="0">
      <w:start w:val="1"/>
      <w:numFmt w:val="decimal"/>
      <w:lvlText w:val="%1"/>
      <w:lvlJc w:val="left"/>
      <w:pPr>
        <w:tabs>
          <w:tab w:val="left" w:pos="432"/>
        </w:tabs>
        <w:ind w:left="432" w:hanging="432"/>
      </w:pPr>
      <w:rPr>
        <w:rFonts w:hint="eastAsia"/>
      </w:rPr>
    </w:lvl>
    <w:lvl w:ilvl="1" w:tentative="0">
      <w:start w:val="1"/>
      <w:numFmt w:val="decimal"/>
      <w:pStyle w:val="83"/>
      <w:lvlText w:val="2.%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6">
    <w:nsid w:val="00000017"/>
    <w:multiLevelType w:val="multilevel"/>
    <w:tmpl w:val="00000017"/>
    <w:lvl w:ilvl="0" w:tentative="0">
      <w:start w:val="1"/>
      <w:numFmt w:val="decimal"/>
      <w:pStyle w:val="176"/>
      <w:lvlText w:val="%1."/>
      <w:lvlJc w:val="left"/>
      <w:pPr>
        <w:tabs>
          <w:tab w:val="left" w:pos="425"/>
        </w:tabs>
        <w:ind w:left="425" w:hanging="425"/>
      </w:pPr>
      <w:rPr>
        <w:rFonts w:hint="default" w:ascii="Arial" w:hAnsi="Arial"/>
      </w:rPr>
    </w:lvl>
    <w:lvl w:ilvl="1" w:tentative="0">
      <w:start w:val="1"/>
      <w:numFmt w:val="decimal"/>
      <w:pStyle w:val="251"/>
      <w:suff w:val="space"/>
      <w:lvlText w:val="%1.%2"/>
      <w:lvlJc w:val="left"/>
      <w:pPr>
        <w:ind w:left="-113" w:firstLine="0"/>
      </w:pPr>
      <w:rPr>
        <w:rFonts w:hint="eastAsia"/>
      </w:rPr>
    </w:lvl>
    <w:lvl w:ilvl="2" w:tentative="0">
      <w:start w:val="1"/>
      <w:numFmt w:val="decimal"/>
      <w:pStyle w:val="238"/>
      <w:lvlText w:val="%1.%2.%3"/>
      <w:lvlJc w:val="left"/>
      <w:pPr>
        <w:tabs>
          <w:tab w:val="left" w:pos="567"/>
        </w:tabs>
        <w:ind w:left="567" w:hanging="567"/>
      </w:pPr>
      <w:rPr>
        <w:rFonts w:hint="default" w:hAnsi="Arial"/>
      </w:rPr>
    </w:lvl>
    <w:lvl w:ilvl="3" w:tentative="0">
      <w:start w:val="1"/>
      <w:numFmt w:val="decimal"/>
      <w:suff w:val="space"/>
      <w:lvlText w:val="%1.%2.%3.%4"/>
      <w:lvlJc w:val="left"/>
      <w:pPr>
        <w:ind w:left="181" w:hanging="181"/>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7">
    <w:nsid w:val="00000018"/>
    <w:multiLevelType w:val="singleLevel"/>
    <w:tmpl w:val="00000018"/>
    <w:lvl w:ilvl="0" w:tentative="0">
      <w:start w:val="1"/>
      <w:numFmt w:val="bullet"/>
      <w:pStyle w:val="18"/>
      <w:lvlText w:val=""/>
      <w:lvlJc w:val="left"/>
      <w:pPr>
        <w:tabs>
          <w:tab w:val="left" w:pos="360"/>
        </w:tabs>
        <w:ind w:left="360" w:hanging="360"/>
      </w:pPr>
      <w:rPr>
        <w:rFonts w:hint="default" w:ascii="Wingdings" w:hAnsi="Wingdings"/>
      </w:rPr>
    </w:lvl>
  </w:abstractNum>
  <w:num w:numId="1">
    <w:abstractNumId w:val="4"/>
  </w:num>
  <w:num w:numId="2">
    <w:abstractNumId w:val="7"/>
  </w:num>
  <w:num w:numId="3">
    <w:abstractNumId w:val="5"/>
  </w:num>
  <w:num w:numId="4">
    <w:abstractNumId w:val="2"/>
  </w:num>
  <w:num w:numId="5">
    <w:abstractNumId w:val="3"/>
  </w:num>
  <w:num w:numId="6">
    <w:abstractNumId w:val="6"/>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67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5YzUxNjE0OTE0MzNhYzg2YTNmZWVhZTMzNzU2YjAifQ=="/>
  </w:docVars>
  <w:rsids>
    <w:rsidRoot w:val="00172A27"/>
    <w:rsid w:val="000006AC"/>
    <w:rsid w:val="00002189"/>
    <w:rsid w:val="0000264F"/>
    <w:rsid w:val="00002DE2"/>
    <w:rsid w:val="0000340E"/>
    <w:rsid w:val="00003479"/>
    <w:rsid w:val="0000384E"/>
    <w:rsid w:val="00004078"/>
    <w:rsid w:val="00004C3B"/>
    <w:rsid w:val="00005226"/>
    <w:rsid w:val="0000589D"/>
    <w:rsid w:val="00006906"/>
    <w:rsid w:val="000077AA"/>
    <w:rsid w:val="00011037"/>
    <w:rsid w:val="000110FF"/>
    <w:rsid w:val="0001132F"/>
    <w:rsid w:val="000119EA"/>
    <w:rsid w:val="00011E9D"/>
    <w:rsid w:val="00012773"/>
    <w:rsid w:val="000127F5"/>
    <w:rsid w:val="00012BC3"/>
    <w:rsid w:val="00012BED"/>
    <w:rsid w:val="00012EAC"/>
    <w:rsid w:val="000147D2"/>
    <w:rsid w:val="00014F66"/>
    <w:rsid w:val="000168D6"/>
    <w:rsid w:val="00017D5E"/>
    <w:rsid w:val="00017E3B"/>
    <w:rsid w:val="00020338"/>
    <w:rsid w:val="00020473"/>
    <w:rsid w:val="0002068D"/>
    <w:rsid w:val="00021494"/>
    <w:rsid w:val="0002192F"/>
    <w:rsid w:val="000227AA"/>
    <w:rsid w:val="00022D66"/>
    <w:rsid w:val="000233C6"/>
    <w:rsid w:val="00024680"/>
    <w:rsid w:val="000247D2"/>
    <w:rsid w:val="00024A76"/>
    <w:rsid w:val="00025861"/>
    <w:rsid w:val="00025F80"/>
    <w:rsid w:val="0002657B"/>
    <w:rsid w:val="00026894"/>
    <w:rsid w:val="00026E2A"/>
    <w:rsid w:val="000270B7"/>
    <w:rsid w:val="00027130"/>
    <w:rsid w:val="0002717F"/>
    <w:rsid w:val="000279CE"/>
    <w:rsid w:val="00027FF0"/>
    <w:rsid w:val="000310C0"/>
    <w:rsid w:val="000311B7"/>
    <w:rsid w:val="00031CFC"/>
    <w:rsid w:val="0003302A"/>
    <w:rsid w:val="000338ED"/>
    <w:rsid w:val="00034BF7"/>
    <w:rsid w:val="00034E72"/>
    <w:rsid w:val="0003586E"/>
    <w:rsid w:val="00035BDA"/>
    <w:rsid w:val="00035CFA"/>
    <w:rsid w:val="0003703E"/>
    <w:rsid w:val="00037306"/>
    <w:rsid w:val="00040048"/>
    <w:rsid w:val="000404F3"/>
    <w:rsid w:val="00040946"/>
    <w:rsid w:val="0004096C"/>
    <w:rsid w:val="00040AA3"/>
    <w:rsid w:val="000417A3"/>
    <w:rsid w:val="000417A4"/>
    <w:rsid w:val="00042226"/>
    <w:rsid w:val="00042765"/>
    <w:rsid w:val="00042D61"/>
    <w:rsid w:val="00042FE1"/>
    <w:rsid w:val="00043297"/>
    <w:rsid w:val="00045388"/>
    <w:rsid w:val="000458DC"/>
    <w:rsid w:val="00046E9B"/>
    <w:rsid w:val="00047C46"/>
    <w:rsid w:val="0005046A"/>
    <w:rsid w:val="00050578"/>
    <w:rsid w:val="000505B2"/>
    <w:rsid w:val="0005115C"/>
    <w:rsid w:val="00051432"/>
    <w:rsid w:val="00051BDD"/>
    <w:rsid w:val="00051E13"/>
    <w:rsid w:val="00052A30"/>
    <w:rsid w:val="000536B7"/>
    <w:rsid w:val="000536FD"/>
    <w:rsid w:val="00053EBD"/>
    <w:rsid w:val="00055206"/>
    <w:rsid w:val="000553A3"/>
    <w:rsid w:val="000555C5"/>
    <w:rsid w:val="000558FF"/>
    <w:rsid w:val="00055D20"/>
    <w:rsid w:val="00055F55"/>
    <w:rsid w:val="000564CA"/>
    <w:rsid w:val="000574B7"/>
    <w:rsid w:val="0005774F"/>
    <w:rsid w:val="00057AC6"/>
    <w:rsid w:val="0006050E"/>
    <w:rsid w:val="00060A6C"/>
    <w:rsid w:val="00061A4A"/>
    <w:rsid w:val="0006264A"/>
    <w:rsid w:val="00062AA0"/>
    <w:rsid w:val="00062B17"/>
    <w:rsid w:val="00063AEF"/>
    <w:rsid w:val="0006487F"/>
    <w:rsid w:val="000648BF"/>
    <w:rsid w:val="00065684"/>
    <w:rsid w:val="00065916"/>
    <w:rsid w:val="00065A45"/>
    <w:rsid w:val="000703CC"/>
    <w:rsid w:val="00070660"/>
    <w:rsid w:val="00070B99"/>
    <w:rsid w:val="00071806"/>
    <w:rsid w:val="00071C61"/>
    <w:rsid w:val="0007201D"/>
    <w:rsid w:val="0007242B"/>
    <w:rsid w:val="000724FC"/>
    <w:rsid w:val="00073419"/>
    <w:rsid w:val="00073B98"/>
    <w:rsid w:val="00073D83"/>
    <w:rsid w:val="00074846"/>
    <w:rsid w:val="00074B37"/>
    <w:rsid w:val="00074DB6"/>
    <w:rsid w:val="00074F87"/>
    <w:rsid w:val="00075730"/>
    <w:rsid w:val="00075AE3"/>
    <w:rsid w:val="00075FFC"/>
    <w:rsid w:val="00076468"/>
    <w:rsid w:val="0008042C"/>
    <w:rsid w:val="00080898"/>
    <w:rsid w:val="00081512"/>
    <w:rsid w:val="000817F8"/>
    <w:rsid w:val="00081F2C"/>
    <w:rsid w:val="0008208C"/>
    <w:rsid w:val="00082F97"/>
    <w:rsid w:val="00085B8E"/>
    <w:rsid w:val="00086789"/>
    <w:rsid w:val="00087B8A"/>
    <w:rsid w:val="00090009"/>
    <w:rsid w:val="0009092A"/>
    <w:rsid w:val="000909EE"/>
    <w:rsid w:val="00090E6A"/>
    <w:rsid w:val="00090EFA"/>
    <w:rsid w:val="00091327"/>
    <w:rsid w:val="000928C4"/>
    <w:rsid w:val="000930D3"/>
    <w:rsid w:val="00093249"/>
    <w:rsid w:val="000935CD"/>
    <w:rsid w:val="00093E52"/>
    <w:rsid w:val="000961B9"/>
    <w:rsid w:val="000966CC"/>
    <w:rsid w:val="00096ABD"/>
    <w:rsid w:val="00096B99"/>
    <w:rsid w:val="000A10F4"/>
    <w:rsid w:val="000A1775"/>
    <w:rsid w:val="000A17D1"/>
    <w:rsid w:val="000A2175"/>
    <w:rsid w:val="000A2317"/>
    <w:rsid w:val="000A25B7"/>
    <w:rsid w:val="000A2AB1"/>
    <w:rsid w:val="000A3184"/>
    <w:rsid w:val="000A32B6"/>
    <w:rsid w:val="000A3496"/>
    <w:rsid w:val="000A415B"/>
    <w:rsid w:val="000A4D6D"/>
    <w:rsid w:val="000A5490"/>
    <w:rsid w:val="000A5CB7"/>
    <w:rsid w:val="000A6D91"/>
    <w:rsid w:val="000B06A8"/>
    <w:rsid w:val="000B0CB3"/>
    <w:rsid w:val="000B0E0E"/>
    <w:rsid w:val="000B1172"/>
    <w:rsid w:val="000B125D"/>
    <w:rsid w:val="000B1D27"/>
    <w:rsid w:val="000B2283"/>
    <w:rsid w:val="000B2EC9"/>
    <w:rsid w:val="000B3290"/>
    <w:rsid w:val="000B3899"/>
    <w:rsid w:val="000B3AB9"/>
    <w:rsid w:val="000B3CDB"/>
    <w:rsid w:val="000B4214"/>
    <w:rsid w:val="000B46A5"/>
    <w:rsid w:val="000B4A0A"/>
    <w:rsid w:val="000B512D"/>
    <w:rsid w:val="000B5284"/>
    <w:rsid w:val="000B5406"/>
    <w:rsid w:val="000B562C"/>
    <w:rsid w:val="000B7566"/>
    <w:rsid w:val="000B7EFA"/>
    <w:rsid w:val="000C05DC"/>
    <w:rsid w:val="000C15B9"/>
    <w:rsid w:val="000C19CB"/>
    <w:rsid w:val="000C2138"/>
    <w:rsid w:val="000C22EE"/>
    <w:rsid w:val="000C2478"/>
    <w:rsid w:val="000C24E7"/>
    <w:rsid w:val="000C27AC"/>
    <w:rsid w:val="000C3CE5"/>
    <w:rsid w:val="000C4372"/>
    <w:rsid w:val="000C48AB"/>
    <w:rsid w:val="000C64A2"/>
    <w:rsid w:val="000C6782"/>
    <w:rsid w:val="000C67D4"/>
    <w:rsid w:val="000C6C12"/>
    <w:rsid w:val="000C70D0"/>
    <w:rsid w:val="000C72B0"/>
    <w:rsid w:val="000C77A8"/>
    <w:rsid w:val="000C7A57"/>
    <w:rsid w:val="000D0D8E"/>
    <w:rsid w:val="000D20B5"/>
    <w:rsid w:val="000D288D"/>
    <w:rsid w:val="000D2E80"/>
    <w:rsid w:val="000D3680"/>
    <w:rsid w:val="000D43A3"/>
    <w:rsid w:val="000D45AB"/>
    <w:rsid w:val="000D5866"/>
    <w:rsid w:val="000D5BC6"/>
    <w:rsid w:val="000D6303"/>
    <w:rsid w:val="000D6497"/>
    <w:rsid w:val="000D6B16"/>
    <w:rsid w:val="000D7051"/>
    <w:rsid w:val="000D7C2A"/>
    <w:rsid w:val="000E018F"/>
    <w:rsid w:val="000E0B0C"/>
    <w:rsid w:val="000E0F93"/>
    <w:rsid w:val="000E0FAC"/>
    <w:rsid w:val="000E14F8"/>
    <w:rsid w:val="000E25A0"/>
    <w:rsid w:val="000E2BEE"/>
    <w:rsid w:val="000E4B4E"/>
    <w:rsid w:val="000E4F0C"/>
    <w:rsid w:val="000E4FCF"/>
    <w:rsid w:val="000E57C2"/>
    <w:rsid w:val="000E5A2C"/>
    <w:rsid w:val="000E5FCA"/>
    <w:rsid w:val="000E64C0"/>
    <w:rsid w:val="000E6C4C"/>
    <w:rsid w:val="000E6EA1"/>
    <w:rsid w:val="000E765E"/>
    <w:rsid w:val="000F0025"/>
    <w:rsid w:val="000F1488"/>
    <w:rsid w:val="000F2609"/>
    <w:rsid w:val="000F2AF0"/>
    <w:rsid w:val="000F50C4"/>
    <w:rsid w:val="000F67F3"/>
    <w:rsid w:val="000F69D1"/>
    <w:rsid w:val="000F6E66"/>
    <w:rsid w:val="000F7670"/>
    <w:rsid w:val="000F773E"/>
    <w:rsid w:val="001005A3"/>
    <w:rsid w:val="001016DE"/>
    <w:rsid w:val="00101B4B"/>
    <w:rsid w:val="00101BB9"/>
    <w:rsid w:val="001023C5"/>
    <w:rsid w:val="00102AE6"/>
    <w:rsid w:val="00102BC1"/>
    <w:rsid w:val="0010375D"/>
    <w:rsid w:val="001037DE"/>
    <w:rsid w:val="00103A60"/>
    <w:rsid w:val="00103ED7"/>
    <w:rsid w:val="00104D38"/>
    <w:rsid w:val="00105950"/>
    <w:rsid w:val="00105C3A"/>
    <w:rsid w:val="00106CDA"/>
    <w:rsid w:val="001070CC"/>
    <w:rsid w:val="00107B02"/>
    <w:rsid w:val="00107F0B"/>
    <w:rsid w:val="001106AE"/>
    <w:rsid w:val="00112C36"/>
    <w:rsid w:val="00112FBE"/>
    <w:rsid w:val="00114EE0"/>
    <w:rsid w:val="001150FE"/>
    <w:rsid w:val="001155F8"/>
    <w:rsid w:val="00116064"/>
    <w:rsid w:val="00116592"/>
    <w:rsid w:val="0011680F"/>
    <w:rsid w:val="001173C6"/>
    <w:rsid w:val="00117AF3"/>
    <w:rsid w:val="00117CB8"/>
    <w:rsid w:val="001209C2"/>
    <w:rsid w:val="00122D6E"/>
    <w:rsid w:val="001230B4"/>
    <w:rsid w:val="0012321F"/>
    <w:rsid w:val="00123579"/>
    <w:rsid w:val="00123B37"/>
    <w:rsid w:val="00123D1C"/>
    <w:rsid w:val="00123D8B"/>
    <w:rsid w:val="00124012"/>
    <w:rsid w:val="001242A4"/>
    <w:rsid w:val="00125214"/>
    <w:rsid w:val="00125695"/>
    <w:rsid w:val="00125E30"/>
    <w:rsid w:val="0012608A"/>
    <w:rsid w:val="0012687F"/>
    <w:rsid w:val="00127798"/>
    <w:rsid w:val="00127BEB"/>
    <w:rsid w:val="001308E3"/>
    <w:rsid w:val="00131701"/>
    <w:rsid w:val="001321B1"/>
    <w:rsid w:val="00132434"/>
    <w:rsid w:val="00132C65"/>
    <w:rsid w:val="00133900"/>
    <w:rsid w:val="00133C0B"/>
    <w:rsid w:val="00133FE3"/>
    <w:rsid w:val="00134721"/>
    <w:rsid w:val="00134EAA"/>
    <w:rsid w:val="00136124"/>
    <w:rsid w:val="00137902"/>
    <w:rsid w:val="0014112C"/>
    <w:rsid w:val="00141871"/>
    <w:rsid w:val="00141D57"/>
    <w:rsid w:val="00142436"/>
    <w:rsid w:val="00143427"/>
    <w:rsid w:val="00143E55"/>
    <w:rsid w:val="00144C42"/>
    <w:rsid w:val="00146730"/>
    <w:rsid w:val="00147915"/>
    <w:rsid w:val="00147F54"/>
    <w:rsid w:val="0015137D"/>
    <w:rsid w:val="001515F5"/>
    <w:rsid w:val="00152164"/>
    <w:rsid w:val="001523BF"/>
    <w:rsid w:val="001523E7"/>
    <w:rsid w:val="00152881"/>
    <w:rsid w:val="00152BF8"/>
    <w:rsid w:val="0015323F"/>
    <w:rsid w:val="001543A3"/>
    <w:rsid w:val="00154B38"/>
    <w:rsid w:val="00154C90"/>
    <w:rsid w:val="001553D7"/>
    <w:rsid w:val="001554DD"/>
    <w:rsid w:val="00155C29"/>
    <w:rsid w:val="00155C8A"/>
    <w:rsid w:val="00156337"/>
    <w:rsid w:val="00156562"/>
    <w:rsid w:val="00156BD9"/>
    <w:rsid w:val="00157A98"/>
    <w:rsid w:val="00157BEC"/>
    <w:rsid w:val="00157F7E"/>
    <w:rsid w:val="001603FE"/>
    <w:rsid w:val="00160CE9"/>
    <w:rsid w:val="00163049"/>
    <w:rsid w:val="00163380"/>
    <w:rsid w:val="00163C0E"/>
    <w:rsid w:val="00163E00"/>
    <w:rsid w:val="00164C95"/>
    <w:rsid w:val="00164E8B"/>
    <w:rsid w:val="00166C28"/>
    <w:rsid w:val="00167748"/>
    <w:rsid w:val="00170005"/>
    <w:rsid w:val="001700B7"/>
    <w:rsid w:val="0017098E"/>
    <w:rsid w:val="001710E8"/>
    <w:rsid w:val="0017194A"/>
    <w:rsid w:val="00172773"/>
    <w:rsid w:val="0017312A"/>
    <w:rsid w:val="00173B93"/>
    <w:rsid w:val="00174C7C"/>
    <w:rsid w:val="001751DC"/>
    <w:rsid w:val="001752DA"/>
    <w:rsid w:val="00175543"/>
    <w:rsid w:val="00175EB4"/>
    <w:rsid w:val="001777E6"/>
    <w:rsid w:val="00177DB4"/>
    <w:rsid w:val="00180BBA"/>
    <w:rsid w:val="001818D1"/>
    <w:rsid w:val="00182B71"/>
    <w:rsid w:val="00183850"/>
    <w:rsid w:val="00183DB4"/>
    <w:rsid w:val="00185519"/>
    <w:rsid w:val="0018559B"/>
    <w:rsid w:val="00185FE3"/>
    <w:rsid w:val="001869AF"/>
    <w:rsid w:val="00187B4C"/>
    <w:rsid w:val="00187F6F"/>
    <w:rsid w:val="0019021E"/>
    <w:rsid w:val="0019028F"/>
    <w:rsid w:val="0019075C"/>
    <w:rsid w:val="00190CF9"/>
    <w:rsid w:val="00190D6C"/>
    <w:rsid w:val="00191746"/>
    <w:rsid w:val="00191907"/>
    <w:rsid w:val="00191A51"/>
    <w:rsid w:val="00191FC0"/>
    <w:rsid w:val="00192344"/>
    <w:rsid w:val="001939E5"/>
    <w:rsid w:val="0019423A"/>
    <w:rsid w:val="0019462D"/>
    <w:rsid w:val="001946F4"/>
    <w:rsid w:val="001954F2"/>
    <w:rsid w:val="00195E3C"/>
    <w:rsid w:val="0019783F"/>
    <w:rsid w:val="001A0754"/>
    <w:rsid w:val="001A0D1D"/>
    <w:rsid w:val="001A187B"/>
    <w:rsid w:val="001A1B68"/>
    <w:rsid w:val="001A327E"/>
    <w:rsid w:val="001A3342"/>
    <w:rsid w:val="001A3A22"/>
    <w:rsid w:val="001A3D8D"/>
    <w:rsid w:val="001A40CF"/>
    <w:rsid w:val="001A450B"/>
    <w:rsid w:val="001A47E2"/>
    <w:rsid w:val="001A4D56"/>
    <w:rsid w:val="001A4D89"/>
    <w:rsid w:val="001A5147"/>
    <w:rsid w:val="001A57BB"/>
    <w:rsid w:val="001A5F08"/>
    <w:rsid w:val="001A6035"/>
    <w:rsid w:val="001A6227"/>
    <w:rsid w:val="001A6269"/>
    <w:rsid w:val="001A634D"/>
    <w:rsid w:val="001A6AB1"/>
    <w:rsid w:val="001A75E8"/>
    <w:rsid w:val="001B0242"/>
    <w:rsid w:val="001B040C"/>
    <w:rsid w:val="001B190B"/>
    <w:rsid w:val="001B21C9"/>
    <w:rsid w:val="001B2562"/>
    <w:rsid w:val="001B348C"/>
    <w:rsid w:val="001B34C3"/>
    <w:rsid w:val="001B3878"/>
    <w:rsid w:val="001B473E"/>
    <w:rsid w:val="001B489B"/>
    <w:rsid w:val="001B4BEB"/>
    <w:rsid w:val="001B5569"/>
    <w:rsid w:val="001B556C"/>
    <w:rsid w:val="001B7CBA"/>
    <w:rsid w:val="001C0539"/>
    <w:rsid w:val="001C0FAE"/>
    <w:rsid w:val="001C1076"/>
    <w:rsid w:val="001C221E"/>
    <w:rsid w:val="001C30DC"/>
    <w:rsid w:val="001C36B7"/>
    <w:rsid w:val="001C4288"/>
    <w:rsid w:val="001C43D9"/>
    <w:rsid w:val="001C4AF2"/>
    <w:rsid w:val="001C520D"/>
    <w:rsid w:val="001C56B6"/>
    <w:rsid w:val="001C5F86"/>
    <w:rsid w:val="001C6242"/>
    <w:rsid w:val="001C69CD"/>
    <w:rsid w:val="001C6A89"/>
    <w:rsid w:val="001C6B08"/>
    <w:rsid w:val="001C6C35"/>
    <w:rsid w:val="001C6ECB"/>
    <w:rsid w:val="001C7E92"/>
    <w:rsid w:val="001D02D0"/>
    <w:rsid w:val="001D0F98"/>
    <w:rsid w:val="001D15AA"/>
    <w:rsid w:val="001D1A13"/>
    <w:rsid w:val="001D1CB1"/>
    <w:rsid w:val="001D25F6"/>
    <w:rsid w:val="001D2CFA"/>
    <w:rsid w:val="001D2DCA"/>
    <w:rsid w:val="001D3029"/>
    <w:rsid w:val="001D30AE"/>
    <w:rsid w:val="001D3557"/>
    <w:rsid w:val="001D3793"/>
    <w:rsid w:val="001D47AA"/>
    <w:rsid w:val="001D4B22"/>
    <w:rsid w:val="001D4C53"/>
    <w:rsid w:val="001D5ABC"/>
    <w:rsid w:val="001D6253"/>
    <w:rsid w:val="001D64DD"/>
    <w:rsid w:val="001D65D4"/>
    <w:rsid w:val="001D6EFA"/>
    <w:rsid w:val="001D6F93"/>
    <w:rsid w:val="001D727B"/>
    <w:rsid w:val="001D7366"/>
    <w:rsid w:val="001D766F"/>
    <w:rsid w:val="001D7EBB"/>
    <w:rsid w:val="001E11AC"/>
    <w:rsid w:val="001E2485"/>
    <w:rsid w:val="001E376C"/>
    <w:rsid w:val="001E38D6"/>
    <w:rsid w:val="001E3911"/>
    <w:rsid w:val="001E3C7F"/>
    <w:rsid w:val="001E40D3"/>
    <w:rsid w:val="001E427B"/>
    <w:rsid w:val="001E5A4D"/>
    <w:rsid w:val="001E6036"/>
    <w:rsid w:val="001E6C5E"/>
    <w:rsid w:val="001E7C6A"/>
    <w:rsid w:val="001F0AAE"/>
    <w:rsid w:val="001F0CC2"/>
    <w:rsid w:val="001F1BD0"/>
    <w:rsid w:val="001F1E3B"/>
    <w:rsid w:val="001F29C3"/>
    <w:rsid w:val="001F29D1"/>
    <w:rsid w:val="001F323A"/>
    <w:rsid w:val="001F3293"/>
    <w:rsid w:val="001F38A9"/>
    <w:rsid w:val="001F4754"/>
    <w:rsid w:val="001F4976"/>
    <w:rsid w:val="001F4D6F"/>
    <w:rsid w:val="001F4E07"/>
    <w:rsid w:val="001F54DA"/>
    <w:rsid w:val="001F5929"/>
    <w:rsid w:val="001F6274"/>
    <w:rsid w:val="001F65AE"/>
    <w:rsid w:val="001F678F"/>
    <w:rsid w:val="001F6800"/>
    <w:rsid w:val="001F72C1"/>
    <w:rsid w:val="0020092B"/>
    <w:rsid w:val="00200DED"/>
    <w:rsid w:val="00200EC6"/>
    <w:rsid w:val="0020147B"/>
    <w:rsid w:val="00201534"/>
    <w:rsid w:val="00201B8E"/>
    <w:rsid w:val="002024D5"/>
    <w:rsid w:val="0020265E"/>
    <w:rsid w:val="002031CC"/>
    <w:rsid w:val="002034E2"/>
    <w:rsid w:val="0020448F"/>
    <w:rsid w:val="00204491"/>
    <w:rsid w:val="00204DF5"/>
    <w:rsid w:val="00205684"/>
    <w:rsid w:val="0020576C"/>
    <w:rsid w:val="002059D6"/>
    <w:rsid w:val="002059F1"/>
    <w:rsid w:val="00205B5E"/>
    <w:rsid w:val="00206EE3"/>
    <w:rsid w:val="00210807"/>
    <w:rsid w:val="00210ACE"/>
    <w:rsid w:val="002110BE"/>
    <w:rsid w:val="00211170"/>
    <w:rsid w:val="0021155B"/>
    <w:rsid w:val="002117C7"/>
    <w:rsid w:val="002133F3"/>
    <w:rsid w:val="00214053"/>
    <w:rsid w:val="00214228"/>
    <w:rsid w:val="00215011"/>
    <w:rsid w:val="002164DE"/>
    <w:rsid w:val="00216B68"/>
    <w:rsid w:val="002175AF"/>
    <w:rsid w:val="00217673"/>
    <w:rsid w:val="002176B7"/>
    <w:rsid w:val="00217A9A"/>
    <w:rsid w:val="00221666"/>
    <w:rsid w:val="0022213D"/>
    <w:rsid w:val="002222B3"/>
    <w:rsid w:val="0022283C"/>
    <w:rsid w:val="00223023"/>
    <w:rsid w:val="00223122"/>
    <w:rsid w:val="00223587"/>
    <w:rsid w:val="00224290"/>
    <w:rsid w:val="00224B21"/>
    <w:rsid w:val="002267F6"/>
    <w:rsid w:val="002273C2"/>
    <w:rsid w:val="00227E40"/>
    <w:rsid w:val="00230148"/>
    <w:rsid w:val="002302F8"/>
    <w:rsid w:val="0023186F"/>
    <w:rsid w:val="00231F19"/>
    <w:rsid w:val="00232218"/>
    <w:rsid w:val="00232C35"/>
    <w:rsid w:val="00232D9C"/>
    <w:rsid w:val="00232F38"/>
    <w:rsid w:val="0023415D"/>
    <w:rsid w:val="00234603"/>
    <w:rsid w:val="00234C02"/>
    <w:rsid w:val="00234DB4"/>
    <w:rsid w:val="00235F2C"/>
    <w:rsid w:val="002401E2"/>
    <w:rsid w:val="00240575"/>
    <w:rsid w:val="00240863"/>
    <w:rsid w:val="00240F6E"/>
    <w:rsid w:val="00240FFF"/>
    <w:rsid w:val="0024138E"/>
    <w:rsid w:val="0024193A"/>
    <w:rsid w:val="00242674"/>
    <w:rsid w:val="0024304A"/>
    <w:rsid w:val="00244646"/>
    <w:rsid w:val="00244F7C"/>
    <w:rsid w:val="00245D87"/>
    <w:rsid w:val="002464F5"/>
    <w:rsid w:val="0024668B"/>
    <w:rsid w:val="00246BCE"/>
    <w:rsid w:val="0024793B"/>
    <w:rsid w:val="00247DF1"/>
    <w:rsid w:val="0025043A"/>
    <w:rsid w:val="002527DC"/>
    <w:rsid w:val="002531E3"/>
    <w:rsid w:val="00253541"/>
    <w:rsid w:val="002547CA"/>
    <w:rsid w:val="002557CA"/>
    <w:rsid w:val="002568D6"/>
    <w:rsid w:val="0025741B"/>
    <w:rsid w:val="002577B1"/>
    <w:rsid w:val="00257ECF"/>
    <w:rsid w:val="00260445"/>
    <w:rsid w:val="00260BD3"/>
    <w:rsid w:val="00260E01"/>
    <w:rsid w:val="00261B41"/>
    <w:rsid w:val="0026219C"/>
    <w:rsid w:val="00262C4B"/>
    <w:rsid w:val="00263197"/>
    <w:rsid w:val="00264204"/>
    <w:rsid w:val="00264289"/>
    <w:rsid w:val="002646E5"/>
    <w:rsid w:val="00264D22"/>
    <w:rsid w:val="00265645"/>
    <w:rsid w:val="00265976"/>
    <w:rsid w:val="002660CB"/>
    <w:rsid w:val="002665D2"/>
    <w:rsid w:val="00266673"/>
    <w:rsid w:val="00266C56"/>
    <w:rsid w:val="00267381"/>
    <w:rsid w:val="00267CAD"/>
    <w:rsid w:val="00270729"/>
    <w:rsid w:val="00271C2E"/>
    <w:rsid w:val="002722B6"/>
    <w:rsid w:val="002731C3"/>
    <w:rsid w:val="0027386D"/>
    <w:rsid w:val="00273B41"/>
    <w:rsid w:val="0027425B"/>
    <w:rsid w:val="0027468E"/>
    <w:rsid w:val="00275B77"/>
    <w:rsid w:val="00277671"/>
    <w:rsid w:val="00277B8C"/>
    <w:rsid w:val="00277EEE"/>
    <w:rsid w:val="002800C8"/>
    <w:rsid w:val="002806B3"/>
    <w:rsid w:val="00281803"/>
    <w:rsid w:val="00282A9D"/>
    <w:rsid w:val="00283CA2"/>
    <w:rsid w:val="0028451B"/>
    <w:rsid w:val="002845FD"/>
    <w:rsid w:val="00285BC3"/>
    <w:rsid w:val="00285C96"/>
    <w:rsid w:val="00285DD3"/>
    <w:rsid w:val="002865C6"/>
    <w:rsid w:val="00287E6C"/>
    <w:rsid w:val="00290962"/>
    <w:rsid w:val="002909E3"/>
    <w:rsid w:val="0029279B"/>
    <w:rsid w:val="00292934"/>
    <w:rsid w:val="00293FBD"/>
    <w:rsid w:val="0029415E"/>
    <w:rsid w:val="0029419C"/>
    <w:rsid w:val="00294346"/>
    <w:rsid w:val="00294588"/>
    <w:rsid w:val="002948F2"/>
    <w:rsid w:val="00295A34"/>
    <w:rsid w:val="00295B59"/>
    <w:rsid w:val="0029651E"/>
    <w:rsid w:val="00297468"/>
    <w:rsid w:val="00297BDC"/>
    <w:rsid w:val="002A01B5"/>
    <w:rsid w:val="002A29E0"/>
    <w:rsid w:val="002A2E23"/>
    <w:rsid w:val="002A3321"/>
    <w:rsid w:val="002A3654"/>
    <w:rsid w:val="002A3874"/>
    <w:rsid w:val="002A50B6"/>
    <w:rsid w:val="002A50B7"/>
    <w:rsid w:val="002A5FBD"/>
    <w:rsid w:val="002A61AE"/>
    <w:rsid w:val="002A63F4"/>
    <w:rsid w:val="002A6C2E"/>
    <w:rsid w:val="002A764F"/>
    <w:rsid w:val="002A7E22"/>
    <w:rsid w:val="002B0479"/>
    <w:rsid w:val="002B19F2"/>
    <w:rsid w:val="002B265A"/>
    <w:rsid w:val="002B2D48"/>
    <w:rsid w:val="002B2DBC"/>
    <w:rsid w:val="002B3579"/>
    <w:rsid w:val="002B3B3E"/>
    <w:rsid w:val="002B47DA"/>
    <w:rsid w:val="002B6C45"/>
    <w:rsid w:val="002B7E38"/>
    <w:rsid w:val="002B7E8F"/>
    <w:rsid w:val="002C19A3"/>
    <w:rsid w:val="002C1EEA"/>
    <w:rsid w:val="002C2643"/>
    <w:rsid w:val="002C2B71"/>
    <w:rsid w:val="002C3341"/>
    <w:rsid w:val="002C339E"/>
    <w:rsid w:val="002C3491"/>
    <w:rsid w:val="002C34BD"/>
    <w:rsid w:val="002C4B50"/>
    <w:rsid w:val="002C5A8E"/>
    <w:rsid w:val="002C61E4"/>
    <w:rsid w:val="002C672C"/>
    <w:rsid w:val="002C6E8D"/>
    <w:rsid w:val="002C714F"/>
    <w:rsid w:val="002C77A2"/>
    <w:rsid w:val="002D088F"/>
    <w:rsid w:val="002D0984"/>
    <w:rsid w:val="002D3D58"/>
    <w:rsid w:val="002D4276"/>
    <w:rsid w:val="002D4BF5"/>
    <w:rsid w:val="002D509C"/>
    <w:rsid w:val="002D5D94"/>
    <w:rsid w:val="002D665B"/>
    <w:rsid w:val="002E014D"/>
    <w:rsid w:val="002E10DB"/>
    <w:rsid w:val="002E10E6"/>
    <w:rsid w:val="002E15C3"/>
    <w:rsid w:val="002E186B"/>
    <w:rsid w:val="002E2A41"/>
    <w:rsid w:val="002E2C9D"/>
    <w:rsid w:val="002E3100"/>
    <w:rsid w:val="002E391E"/>
    <w:rsid w:val="002E39DB"/>
    <w:rsid w:val="002E4616"/>
    <w:rsid w:val="002E47F6"/>
    <w:rsid w:val="002E4F05"/>
    <w:rsid w:val="002E549D"/>
    <w:rsid w:val="002E56DA"/>
    <w:rsid w:val="002E5A2B"/>
    <w:rsid w:val="002E5EBE"/>
    <w:rsid w:val="002E602E"/>
    <w:rsid w:val="002E606E"/>
    <w:rsid w:val="002E699C"/>
    <w:rsid w:val="002F1EE5"/>
    <w:rsid w:val="002F2107"/>
    <w:rsid w:val="002F2432"/>
    <w:rsid w:val="002F2A6C"/>
    <w:rsid w:val="002F31DB"/>
    <w:rsid w:val="002F39A8"/>
    <w:rsid w:val="002F3D4F"/>
    <w:rsid w:val="002F5077"/>
    <w:rsid w:val="002F653F"/>
    <w:rsid w:val="002F695A"/>
    <w:rsid w:val="002F7C1E"/>
    <w:rsid w:val="002F7D79"/>
    <w:rsid w:val="0030119C"/>
    <w:rsid w:val="003012DF"/>
    <w:rsid w:val="00301AD2"/>
    <w:rsid w:val="00301FE9"/>
    <w:rsid w:val="003022AD"/>
    <w:rsid w:val="003036A7"/>
    <w:rsid w:val="003040BB"/>
    <w:rsid w:val="0030416B"/>
    <w:rsid w:val="00304538"/>
    <w:rsid w:val="00304C14"/>
    <w:rsid w:val="00304DB4"/>
    <w:rsid w:val="003052F1"/>
    <w:rsid w:val="00306A3E"/>
    <w:rsid w:val="00306B1D"/>
    <w:rsid w:val="00307FA9"/>
    <w:rsid w:val="003100C3"/>
    <w:rsid w:val="003101BB"/>
    <w:rsid w:val="00310AED"/>
    <w:rsid w:val="003116A9"/>
    <w:rsid w:val="00311EA5"/>
    <w:rsid w:val="0031333B"/>
    <w:rsid w:val="00313E4E"/>
    <w:rsid w:val="00313EC5"/>
    <w:rsid w:val="00313FAB"/>
    <w:rsid w:val="00315605"/>
    <w:rsid w:val="00315C58"/>
    <w:rsid w:val="00315CBE"/>
    <w:rsid w:val="003166C8"/>
    <w:rsid w:val="003167AD"/>
    <w:rsid w:val="00316AE5"/>
    <w:rsid w:val="0031714B"/>
    <w:rsid w:val="00317FC9"/>
    <w:rsid w:val="00320006"/>
    <w:rsid w:val="00320A3B"/>
    <w:rsid w:val="00321204"/>
    <w:rsid w:val="00322DB4"/>
    <w:rsid w:val="00323118"/>
    <w:rsid w:val="00325E86"/>
    <w:rsid w:val="00326103"/>
    <w:rsid w:val="00326356"/>
    <w:rsid w:val="00326541"/>
    <w:rsid w:val="00326703"/>
    <w:rsid w:val="0032672A"/>
    <w:rsid w:val="00327076"/>
    <w:rsid w:val="0032748D"/>
    <w:rsid w:val="00331649"/>
    <w:rsid w:val="00331D8A"/>
    <w:rsid w:val="003321D0"/>
    <w:rsid w:val="00332ACC"/>
    <w:rsid w:val="003342FA"/>
    <w:rsid w:val="00334EAE"/>
    <w:rsid w:val="00335479"/>
    <w:rsid w:val="00335903"/>
    <w:rsid w:val="00335A93"/>
    <w:rsid w:val="00335EF0"/>
    <w:rsid w:val="0033618D"/>
    <w:rsid w:val="00336A0A"/>
    <w:rsid w:val="00336B7D"/>
    <w:rsid w:val="00336FAA"/>
    <w:rsid w:val="003375C0"/>
    <w:rsid w:val="00337B43"/>
    <w:rsid w:val="00337BEE"/>
    <w:rsid w:val="00337EEE"/>
    <w:rsid w:val="003404D8"/>
    <w:rsid w:val="00340682"/>
    <w:rsid w:val="00340798"/>
    <w:rsid w:val="00340B55"/>
    <w:rsid w:val="003410AC"/>
    <w:rsid w:val="0034166B"/>
    <w:rsid w:val="00341BEA"/>
    <w:rsid w:val="003422FC"/>
    <w:rsid w:val="00342B6A"/>
    <w:rsid w:val="00343578"/>
    <w:rsid w:val="00343D6E"/>
    <w:rsid w:val="00344155"/>
    <w:rsid w:val="00344490"/>
    <w:rsid w:val="00346737"/>
    <w:rsid w:val="003469A4"/>
    <w:rsid w:val="003476A2"/>
    <w:rsid w:val="0035022D"/>
    <w:rsid w:val="00350767"/>
    <w:rsid w:val="0035142E"/>
    <w:rsid w:val="003528EE"/>
    <w:rsid w:val="00352B87"/>
    <w:rsid w:val="003531EF"/>
    <w:rsid w:val="00353E0C"/>
    <w:rsid w:val="00354410"/>
    <w:rsid w:val="0035518B"/>
    <w:rsid w:val="00355685"/>
    <w:rsid w:val="003557D9"/>
    <w:rsid w:val="003558B1"/>
    <w:rsid w:val="00357EF5"/>
    <w:rsid w:val="003611DE"/>
    <w:rsid w:val="003611E7"/>
    <w:rsid w:val="00361C71"/>
    <w:rsid w:val="00362520"/>
    <w:rsid w:val="003628D7"/>
    <w:rsid w:val="00363BA3"/>
    <w:rsid w:val="0036410B"/>
    <w:rsid w:val="0036482E"/>
    <w:rsid w:val="00364845"/>
    <w:rsid w:val="00364A06"/>
    <w:rsid w:val="00364A20"/>
    <w:rsid w:val="00366256"/>
    <w:rsid w:val="003662DE"/>
    <w:rsid w:val="00367AC6"/>
    <w:rsid w:val="00367C86"/>
    <w:rsid w:val="0037060E"/>
    <w:rsid w:val="00370998"/>
    <w:rsid w:val="00371592"/>
    <w:rsid w:val="0037169D"/>
    <w:rsid w:val="00371A5D"/>
    <w:rsid w:val="0037245B"/>
    <w:rsid w:val="0037260B"/>
    <w:rsid w:val="0037292F"/>
    <w:rsid w:val="00372B9A"/>
    <w:rsid w:val="0037318F"/>
    <w:rsid w:val="00373D8B"/>
    <w:rsid w:val="00374688"/>
    <w:rsid w:val="00375659"/>
    <w:rsid w:val="003767BB"/>
    <w:rsid w:val="00376CC7"/>
    <w:rsid w:val="003773F6"/>
    <w:rsid w:val="003805C0"/>
    <w:rsid w:val="003807CF"/>
    <w:rsid w:val="00380BE0"/>
    <w:rsid w:val="003810B5"/>
    <w:rsid w:val="003813C8"/>
    <w:rsid w:val="0038295F"/>
    <w:rsid w:val="00382DD9"/>
    <w:rsid w:val="00383019"/>
    <w:rsid w:val="003830D3"/>
    <w:rsid w:val="00383330"/>
    <w:rsid w:val="003841E4"/>
    <w:rsid w:val="0038489B"/>
    <w:rsid w:val="00384DBB"/>
    <w:rsid w:val="00385277"/>
    <w:rsid w:val="0038559D"/>
    <w:rsid w:val="0038674B"/>
    <w:rsid w:val="00386794"/>
    <w:rsid w:val="00386D74"/>
    <w:rsid w:val="00387285"/>
    <w:rsid w:val="00390118"/>
    <w:rsid w:val="00390545"/>
    <w:rsid w:val="00392EE9"/>
    <w:rsid w:val="0039335C"/>
    <w:rsid w:val="0039391E"/>
    <w:rsid w:val="00393C25"/>
    <w:rsid w:val="0039459B"/>
    <w:rsid w:val="003946F9"/>
    <w:rsid w:val="00394D1D"/>
    <w:rsid w:val="00395946"/>
    <w:rsid w:val="00395E11"/>
    <w:rsid w:val="0039647E"/>
    <w:rsid w:val="00396B93"/>
    <w:rsid w:val="00396BAB"/>
    <w:rsid w:val="00397204"/>
    <w:rsid w:val="00397F5F"/>
    <w:rsid w:val="003A064B"/>
    <w:rsid w:val="003A086B"/>
    <w:rsid w:val="003A16AA"/>
    <w:rsid w:val="003A1999"/>
    <w:rsid w:val="003A1CEB"/>
    <w:rsid w:val="003A1F33"/>
    <w:rsid w:val="003A2184"/>
    <w:rsid w:val="003A23E4"/>
    <w:rsid w:val="003A2C0D"/>
    <w:rsid w:val="003A345D"/>
    <w:rsid w:val="003A441F"/>
    <w:rsid w:val="003A5933"/>
    <w:rsid w:val="003A6745"/>
    <w:rsid w:val="003A6A46"/>
    <w:rsid w:val="003A6FAB"/>
    <w:rsid w:val="003A75BB"/>
    <w:rsid w:val="003B1795"/>
    <w:rsid w:val="003B270E"/>
    <w:rsid w:val="003B2957"/>
    <w:rsid w:val="003B2B5B"/>
    <w:rsid w:val="003B2F0E"/>
    <w:rsid w:val="003B309C"/>
    <w:rsid w:val="003B325F"/>
    <w:rsid w:val="003B46D1"/>
    <w:rsid w:val="003B49EB"/>
    <w:rsid w:val="003B5638"/>
    <w:rsid w:val="003B5A67"/>
    <w:rsid w:val="003B5E17"/>
    <w:rsid w:val="003B6123"/>
    <w:rsid w:val="003B7568"/>
    <w:rsid w:val="003B773C"/>
    <w:rsid w:val="003B7EBD"/>
    <w:rsid w:val="003C03C8"/>
    <w:rsid w:val="003C1107"/>
    <w:rsid w:val="003C1232"/>
    <w:rsid w:val="003C1541"/>
    <w:rsid w:val="003C190A"/>
    <w:rsid w:val="003C1E74"/>
    <w:rsid w:val="003C236F"/>
    <w:rsid w:val="003C28BF"/>
    <w:rsid w:val="003C2B33"/>
    <w:rsid w:val="003C3A8C"/>
    <w:rsid w:val="003C47C6"/>
    <w:rsid w:val="003C4B24"/>
    <w:rsid w:val="003C5779"/>
    <w:rsid w:val="003C61F6"/>
    <w:rsid w:val="003C6E00"/>
    <w:rsid w:val="003C7011"/>
    <w:rsid w:val="003C7030"/>
    <w:rsid w:val="003C7A0B"/>
    <w:rsid w:val="003D1023"/>
    <w:rsid w:val="003D10BC"/>
    <w:rsid w:val="003D12C7"/>
    <w:rsid w:val="003D178B"/>
    <w:rsid w:val="003D1B94"/>
    <w:rsid w:val="003D2435"/>
    <w:rsid w:val="003D2B6B"/>
    <w:rsid w:val="003D2B82"/>
    <w:rsid w:val="003D2C40"/>
    <w:rsid w:val="003D5AC5"/>
    <w:rsid w:val="003D5DEC"/>
    <w:rsid w:val="003D6912"/>
    <w:rsid w:val="003D6B52"/>
    <w:rsid w:val="003D6E42"/>
    <w:rsid w:val="003D736B"/>
    <w:rsid w:val="003D75CA"/>
    <w:rsid w:val="003D76BA"/>
    <w:rsid w:val="003E01B4"/>
    <w:rsid w:val="003E074B"/>
    <w:rsid w:val="003E0CE6"/>
    <w:rsid w:val="003E20E1"/>
    <w:rsid w:val="003E39B0"/>
    <w:rsid w:val="003E431A"/>
    <w:rsid w:val="003E4AC0"/>
    <w:rsid w:val="003E579E"/>
    <w:rsid w:val="003E5EBA"/>
    <w:rsid w:val="003E60F8"/>
    <w:rsid w:val="003E64EB"/>
    <w:rsid w:val="003E6F4B"/>
    <w:rsid w:val="003E7325"/>
    <w:rsid w:val="003F034E"/>
    <w:rsid w:val="003F0D7C"/>
    <w:rsid w:val="003F125C"/>
    <w:rsid w:val="003F18D5"/>
    <w:rsid w:val="003F1921"/>
    <w:rsid w:val="003F1F06"/>
    <w:rsid w:val="003F212A"/>
    <w:rsid w:val="003F3884"/>
    <w:rsid w:val="003F3A88"/>
    <w:rsid w:val="003F422A"/>
    <w:rsid w:val="003F466F"/>
    <w:rsid w:val="003F4C36"/>
    <w:rsid w:val="003F4ECF"/>
    <w:rsid w:val="003F5739"/>
    <w:rsid w:val="003F694F"/>
    <w:rsid w:val="003F7A88"/>
    <w:rsid w:val="00400389"/>
    <w:rsid w:val="0040055D"/>
    <w:rsid w:val="0040061A"/>
    <w:rsid w:val="004007CE"/>
    <w:rsid w:val="00401F01"/>
    <w:rsid w:val="00403626"/>
    <w:rsid w:val="004037A4"/>
    <w:rsid w:val="00404370"/>
    <w:rsid w:val="00404B47"/>
    <w:rsid w:val="00404E1B"/>
    <w:rsid w:val="0040570B"/>
    <w:rsid w:val="00405FDF"/>
    <w:rsid w:val="0040612E"/>
    <w:rsid w:val="00410245"/>
    <w:rsid w:val="00410532"/>
    <w:rsid w:val="00410A3F"/>
    <w:rsid w:val="00410D72"/>
    <w:rsid w:val="004110D9"/>
    <w:rsid w:val="004115EB"/>
    <w:rsid w:val="004116C0"/>
    <w:rsid w:val="00412429"/>
    <w:rsid w:val="0041263F"/>
    <w:rsid w:val="00412A51"/>
    <w:rsid w:val="00413953"/>
    <w:rsid w:val="004143B4"/>
    <w:rsid w:val="00415351"/>
    <w:rsid w:val="00415691"/>
    <w:rsid w:val="00415872"/>
    <w:rsid w:val="00416228"/>
    <w:rsid w:val="00417A85"/>
    <w:rsid w:val="00421A39"/>
    <w:rsid w:val="00421BAA"/>
    <w:rsid w:val="004220DE"/>
    <w:rsid w:val="004227BE"/>
    <w:rsid w:val="00422F72"/>
    <w:rsid w:val="0042305E"/>
    <w:rsid w:val="00423A68"/>
    <w:rsid w:val="004240FC"/>
    <w:rsid w:val="00424A53"/>
    <w:rsid w:val="00424C06"/>
    <w:rsid w:val="00426FE5"/>
    <w:rsid w:val="00430C55"/>
    <w:rsid w:val="00431082"/>
    <w:rsid w:val="004315E4"/>
    <w:rsid w:val="00432466"/>
    <w:rsid w:val="004325E8"/>
    <w:rsid w:val="004326B1"/>
    <w:rsid w:val="004328A0"/>
    <w:rsid w:val="004332E5"/>
    <w:rsid w:val="00433752"/>
    <w:rsid w:val="00433E57"/>
    <w:rsid w:val="00434389"/>
    <w:rsid w:val="004343CD"/>
    <w:rsid w:val="00434561"/>
    <w:rsid w:val="00435927"/>
    <w:rsid w:val="00435A21"/>
    <w:rsid w:val="0043651C"/>
    <w:rsid w:val="004367CA"/>
    <w:rsid w:val="004370D7"/>
    <w:rsid w:val="00437611"/>
    <w:rsid w:val="00437971"/>
    <w:rsid w:val="004403E4"/>
    <w:rsid w:val="00440495"/>
    <w:rsid w:val="0044096C"/>
    <w:rsid w:val="004418A5"/>
    <w:rsid w:val="004422E7"/>
    <w:rsid w:val="0044248A"/>
    <w:rsid w:val="004426BE"/>
    <w:rsid w:val="0044325A"/>
    <w:rsid w:val="00443B90"/>
    <w:rsid w:val="0044458B"/>
    <w:rsid w:val="00444BF2"/>
    <w:rsid w:val="00444C65"/>
    <w:rsid w:val="00445473"/>
    <w:rsid w:val="004469A0"/>
    <w:rsid w:val="004469E9"/>
    <w:rsid w:val="00447C30"/>
    <w:rsid w:val="004501CC"/>
    <w:rsid w:val="00450435"/>
    <w:rsid w:val="00450638"/>
    <w:rsid w:val="00450EA7"/>
    <w:rsid w:val="00450FE6"/>
    <w:rsid w:val="004518C1"/>
    <w:rsid w:val="00451C2D"/>
    <w:rsid w:val="004524EB"/>
    <w:rsid w:val="00452AB4"/>
    <w:rsid w:val="00452EF8"/>
    <w:rsid w:val="00453DE1"/>
    <w:rsid w:val="0045423B"/>
    <w:rsid w:val="00454391"/>
    <w:rsid w:val="0045463D"/>
    <w:rsid w:val="00454CE2"/>
    <w:rsid w:val="00454E72"/>
    <w:rsid w:val="004557D6"/>
    <w:rsid w:val="00455D87"/>
    <w:rsid w:val="00456328"/>
    <w:rsid w:val="00457EF7"/>
    <w:rsid w:val="00460C67"/>
    <w:rsid w:val="00460CE8"/>
    <w:rsid w:val="00461E0A"/>
    <w:rsid w:val="00462016"/>
    <w:rsid w:val="00462517"/>
    <w:rsid w:val="004636E0"/>
    <w:rsid w:val="00464048"/>
    <w:rsid w:val="00464A11"/>
    <w:rsid w:val="00464FE5"/>
    <w:rsid w:val="00465974"/>
    <w:rsid w:val="00466341"/>
    <w:rsid w:val="00467137"/>
    <w:rsid w:val="00470385"/>
    <w:rsid w:val="004704A1"/>
    <w:rsid w:val="0047072E"/>
    <w:rsid w:val="00470A6C"/>
    <w:rsid w:val="00470E82"/>
    <w:rsid w:val="004729BD"/>
    <w:rsid w:val="00472AE7"/>
    <w:rsid w:val="00472CCE"/>
    <w:rsid w:val="00473D1F"/>
    <w:rsid w:val="00474909"/>
    <w:rsid w:val="00474CE8"/>
    <w:rsid w:val="00476ABA"/>
    <w:rsid w:val="0047746C"/>
    <w:rsid w:val="00477D15"/>
    <w:rsid w:val="0048029D"/>
    <w:rsid w:val="0048276F"/>
    <w:rsid w:val="00483119"/>
    <w:rsid w:val="00483FEE"/>
    <w:rsid w:val="004845B2"/>
    <w:rsid w:val="004845E8"/>
    <w:rsid w:val="0048491A"/>
    <w:rsid w:val="00484C34"/>
    <w:rsid w:val="00484CCC"/>
    <w:rsid w:val="00485182"/>
    <w:rsid w:val="00486DB6"/>
    <w:rsid w:val="0048716D"/>
    <w:rsid w:val="00487B25"/>
    <w:rsid w:val="00487FC0"/>
    <w:rsid w:val="004903F5"/>
    <w:rsid w:val="004906DA"/>
    <w:rsid w:val="0049075B"/>
    <w:rsid w:val="004908D3"/>
    <w:rsid w:val="00491071"/>
    <w:rsid w:val="00491072"/>
    <w:rsid w:val="004914F2"/>
    <w:rsid w:val="00491749"/>
    <w:rsid w:val="00492F84"/>
    <w:rsid w:val="00494243"/>
    <w:rsid w:val="00494883"/>
    <w:rsid w:val="00494D6D"/>
    <w:rsid w:val="004953E3"/>
    <w:rsid w:val="00495787"/>
    <w:rsid w:val="004959C0"/>
    <w:rsid w:val="00495BB8"/>
    <w:rsid w:val="00496474"/>
    <w:rsid w:val="004967D8"/>
    <w:rsid w:val="00497656"/>
    <w:rsid w:val="004A02AC"/>
    <w:rsid w:val="004A158D"/>
    <w:rsid w:val="004A165F"/>
    <w:rsid w:val="004A1700"/>
    <w:rsid w:val="004A1C37"/>
    <w:rsid w:val="004A24C2"/>
    <w:rsid w:val="004A390D"/>
    <w:rsid w:val="004A3CAE"/>
    <w:rsid w:val="004A3FA6"/>
    <w:rsid w:val="004A46AC"/>
    <w:rsid w:val="004A4897"/>
    <w:rsid w:val="004A5588"/>
    <w:rsid w:val="004A616C"/>
    <w:rsid w:val="004A6325"/>
    <w:rsid w:val="004A6859"/>
    <w:rsid w:val="004A790A"/>
    <w:rsid w:val="004A7A26"/>
    <w:rsid w:val="004A7CC0"/>
    <w:rsid w:val="004B0971"/>
    <w:rsid w:val="004B23F4"/>
    <w:rsid w:val="004B2449"/>
    <w:rsid w:val="004B3399"/>
    <w:rsid w:val="004B4509"/>
    <w:rsid w:val="004B474E"/>
    <w:rsid w:val="004B492E"/>
    <w:rsid w:val="004B6520"/>
    <w:rsid w:val="004B6F35"/>
    <w:rsid w:val="004B7240"/>
    <w:rsid w:val="004B731B"/>
    <w:rsid w:val="004B7444"/>
    <w:rsid w:val="004B765C"/>
    <w:rsid w:val="004B7728"/>
    <w:rsid w:val="004B7E25"/>
    <w:rsid w:val="004C06F0"/>
    <w:rsid w:val="004C1788"/>
    <w:rsid w:val="004C1B09"/>
    <w:rsid w:val="004C2A14"/>
    <w:rsid w:val="004C2E0A"/>
    <w:rsid w:val="004C30B8"/>
    <w:rsid w:val="004C40D4"/>
    <w:rsid w:val="004C443E"/>
    <w:rsid w:val="004C4EBD"/>
    <w:rsid w:val="004C59A4"/>
    <w:rsid w:val="004C60D4"/>
    <w:rsid w:val="004C6104"/>
    <w:rsid w:val="004C63CD"/>
    <w:rsid w:val="004C6861"/>
    <w:rsid w:val="004C6AD4"/>
    <w:rsid w:val="004C6F21"/>
    <w:rsid w:val="004C6F64"/>
    <w:rsid w:val="004C7596"/>
    <w:rsid w:val="004D028F"/>
    <w:rsid w:val="004D176D"/>
    <w:rsid w:val="004D1AFF"/>
    <w:rsid w:val="004D35E4"/>
    <w:rsid w:val="004D3703"/>
    <w:rsid w:val="004D4884"/>
    <w:rsid w:val="004D5069"/>
    <w:rsid w:val="004D5229"/>
    <w:rsid w:val="004D5344"/>
    <w:rsid w:val="004D545A"/>
    <w:rsid w:val="004D5B92"/>
    <w:rsid w:val="004D5D9D"/>
    <w:rsid w:val="004D634D"/>
    <w:rsid w:val="004D6805"/>
    <w:rsid w:val="004D69F7"/>
    <w:rsid w:val="004D6F6C"/>
    <w:rsid w:val="004E0153"/>
    <w:rsid w:val="004E07AA"/>
    <w:rsid w:val="004E1ED3"/>
    <w:rsid w:val="004E216E"/>
    <w:rsid w:val="004E2C23"/>
    <w:rsid w:val="004E35E8"/>
    <w:rsid w:val="004E399D"/>
    <w:rsid w:val="004E474A"/>
    <w:rsid w:val="004E5019"/>
    <w:rsid w:val="004E64DE"/>
    <w:rsid w:val="004E67BC"/>
    <w:rsid w:val="004E6986"/>
    <w:rsid w:val="004E6A3F"/>
    <w:rsid w:val="004E74A2"/>
    <w:rsid w:val="004F0E86"/>
    <w:rsid w:val="004F1373"/>
    <w:rsid w:val="004F16B3"/>
    <w:rsid w:val="004F1E28"/>
    <w:rsid w:val="004F216D"/>
    <w:rsid w:val="004F2BF8"/>
    <w:rsid w:val="004F348B"/>
    <w:rsid w:val="004F3B02"/>
    <w:rsid w:val="004F4D45"/>
    <w:rsid w:val="004F4E3C"/>
    <w:rsid w:val="004F4F5D"/>
    <w:rsid w:val="004F55B5"/>
    <w:rsid w:val="004F580E"/>
    <w:rsid w:val="004F5ED3"/>
    <w:rsid w:val="004F60FC"/>
    <w:rsid w:val="004F6DF2"/>
    <w:rsid w:val="004F707B"/>
    <w:rsid w:val="0050190B"/>
    <w:rsid w:val="00501B24"/>
    <w:rsid w:val="00501B55"/>
    <w:rsid w:val="00502D5C"/>
    <w:rsid w:val="005048FD"/>
    <w:rsid w:val="00504A90"/>
    <w:rsid w:val="005061C7"/>
    <w:rsid w:val="00506CDD"/>
    <w:rsid w:val="005072D8"/>
    <w:rsid w:val="00507E7D"/>
    <w:rsid w:val="00510378"/>
    <w:rsid w:val="005105E4"/>
    <w:rsid w:val="00511561"/>
    <w:rsid w:val="00511A86"/>
    <w:rsid w:val="00512550"/>
    <w:rsid w:val="00512972"/>
    <w:rsid w:val="005129DA"/>
    <w:rsid w:val="00512A43"/>
    <w:rsid w:val="00512DD3"/>
    <w:rsid w:val="00513115"/>
    <w:rsid w:val="00513A85"/>
    <w:rsid w:val="005147E3"/>
    <w:rsid w:val="00514CCE"/>
    <w:rsid w:val="0051578C"/>
    <w:rsid w:val="00516046"/>
    <w:rsid w:val="00517E8A"/>
    <w:rsid w:val="00520A09"/>
    <w:rsid w:val="00520B2D"/>
    <w:rsid w:val="00522300"/>
    <w:rsid w:val="0052276E"/>
    <w:rsid w:val="005237A7"/>
    <w:rsid w:val="00523BF7"/>
    <w:rsid w:val="00523C81"/>
    <w:rsid w:val="005247BF"/>
    <w:rsid w:val="005248E9"/>
    <w:rsid w:val="0052561D"/>
    <w:rsid w:val="00525E00"/>
    <w:rsid w:val="00525F21"/>
    <w:rsid w:val="00525F6B"/>
    <w:rsid w:val="005260FF"/>
    <w:rsid w:val="00527867"/>
    <w:rsid w:val="00527AA5"/>
    <w:rsid w:val="00527B8B"/>
    <w:rsid w:val="00527D16"/>
    <w:rsid w:val="00530ADC"/>
    <w:rsid w:val="00532599"/>
    <w:rsid w:val="00533518"/>
    <w:rsid w:val="00534056"/>
    <w:rsid w:val="005354D6"/>
    <w:rsid w:val="005367E6"/>
    <w:rsid w:val="00536A5A"/>
    <w:rsid w:val="00536B23"/>
    <w:rsid w:val="00536C8F"/>
    <w:rsid w:val="0053708F"/>
    <w:rsid w:val="00540EE6"/>
    <w:rsid w:val="00541638"/>
    <w:rsid w:val="00541E80"/>
    <w:rsid w:val="00542FF7"/>
    <w:rsid w:val="00543041"/>
    <w:rsid w:val="005437B0"/>
    <w:rsid w:val="00543EE3"/>
    <w:rsid w:val="00545C37"/>
    <w:rsid w:val="0054660E"/>
    <w:rsid w:val="00546747"/>
    <w:rsid w:val="00547C2E"/>
    <w:rsid w:val="005500B2"/>
    <w:rsid w:val="00550174"/>
    <w:rsid w:val="005508DE"/>
    <w:rsid w:val="00550B1F"/>
    <w:rsid w:val="005515ED"/>
    <w:rsid w:val="00551902"/>
    <w:rsid w:val="00551B2C"/>
    <w:rsid w:val="00551EE4"/>
    <w:rsid w:val="00552C41"/>
    <w:rsid w:val="00552C5C"/>
    <w:rsid w:val="00554519"/>
    <w:rsid w:val="0055471C"/>
    <w:rsid w:val="00554D64"/>
    <w:rsid w:val="005558B8"/>
    <w:rsid w:val="00557350"/>
    <w:rsid w:val="005605D1"/>
    <w:rsid w:val="005606D2"/>
    <w:rsid w:val="005619EB"/>
    <w:rsid w:val="00562FB7"/>
    <w:rsid w:val="005630E8"/>
    <w:rsid w:val="005630F8"/>
    <w:rsid w:val="00563CE0"/>
    <w:rsid w:val="00563F25"/>
    <w:rsid w:val="00564C8F"/>
    <w:rsid w:val="005650BF"/>
    <w:rsid w:val="0056528A"/>
    <w:rsid w:val="00565AA9"/>
    <w:rsid w:val="005660C7"/>
    <w:rsid w:val="0056713B"/>
    <w:rsid w:val="00567996"/>
    <w:rsid w:val="00570DA1"/>
    <w:rsid w:val="005710A1"/>
    <w:rsid w:val="00571171"/>
    <w:rsid w:val="00571744"/>
    <w:rsid w:val="00571D39"/>
    <w:rsid w:val="00572805"/>
    <w:rsid w:val="00572C2E"/>
    <w:rsid w:val="005735E8"/>
    <w:rsid w:val="005746C7"/>
    <w:rsid w:val="00575217"/>
    <w:rsid w:val="00575221"/>
    <w:rsid w:val="0057583B"/>
    <w:rsid w:val="00575A5F"/>
    <w:rsid w:val="0057610D"/>
    <w:rsid w:val="005761CC"/>
    <w:rsid w:val="005768DF"/>
    <w:rsid w:val="0057699F"/>
    <w:rsid w:val="00576B01"/>
    <w:rsid w:val="00576CC6"/>
    <w:rsid w:val="005773A8"/>
    <w:rsid w:val="0057773A"/>
    <w:rsid w:val="00577775"/>
    <w:rsid w:val="00580AC8"/>
    <w:rsid w:val="00580B14"/>
    <w:rsid w:val="005811E4"/>
    <w:rsid w:val="005816E1"/>
    <w:rsid w:val="00581D93"/>
    <w:rsid w:val="00582280"/>
    <w:rsid w:val="005833B2"/>
    <w:rsid w:val="005839FB"/>
    <w:rsid w:val="00583D00"/>
    <w:rsid w:val="00585D0A"/>
    <w:rsid w:val="00585E8C"/>
    <w:rsid w:val="00586568"/>
    <w:rsid w:val="005868DC"/>
    <w:rsid w:val="00586B34"/>
    <w:rsid w:val="005902E3"/>
    <w:rsid w:val="00590FB0"/>
    <w:rsid w:val="005913B7"/>
    <w:rsid w:val="0059153D"/>
    <w:rsid w:val="00591CAD"/>
    <w:rsid w:val="005922AA"/>
    <w:rsid w:val="0059267F"/>
    <w:rsid w:val="00593335"/>
    <w:rsid w:val="0059376F"/>
    <w:rsid w:val="00593A71"/>
    <w:rsid w:val="00594664"/>
    <w:rsid w:val="00594F4D"/>
    <w:rsid w:val="005953D5"/>
    <w:rsid w:val="00595899"/>
    <w:rsid w:val="00595E19"/>
    <w:rsid w:val="00597D90"/>
    <w:rsid w:val="00597F6F"/>
    <w:rsid w:val="005A04CA"/>
    <w:rsid w:val="005A1045"/>
    <w:rsid w:val="005A1E90"/>
    <w:rsid w:val="005A1FCA"/>
    <w:rsid w:val="005A27B5"/>
    <w:rsid w:val="005A2B0B"/>
    <w:rsid w:val="005A2E70"/>
    <w:rsid w:val="005A3DC0"/>
    <w:rsid w:val="005A5525"/>
    <w:rsid w:val="005A5568"/>
    <w:rsid w:val="005A57A3"/>
    <w:rsid w:val="005A71CF"/>
    <w:rsid w:val="005A7571"/>
    <w:rsid w:val="005A77A0"/>
    <w:rsid w:val="005A7952"/>
    <w:rsid w:val="005A7AB5"/>
    <w:rsid w:val="005A7D2F"/>
    <w:rsid w:val="005B0F22"/>
    <w:rsid w:val="005B147F"/>
    <w:rsid w:val="005B1539"/>
    <w:rsid w:val="005B3669"/>
    <w:rsid w:val="005B43FE"/>
    <w:rsid w:val="005B4BEA"/>
    <w:rsid w:val="005B5584"/>
    <w:rsid w:val="005B6CC9"/>
    <w:rsid w:val="005B6EC6"/>
    <w:rsid w:val="005B6F53"/>
    <w:rsid w:val="005B78C5"/>
    <w:rsid w:val="005B7E4B"/>
    <w:rsid w:val="005C27D1"/>
    <w:rsid w:val="005C29EF"/>
    <w:rsid w:val="005C2BB9"/>
    <w:rsid w:val="005C2F2E"/>
    <w:rsid w:val="005C3F8A"/>
    <w:rsid w:val="005C4A8D"/>
    <w:rsid w:val="005C4B15"/>
    <w:rsid w:val="005C5224"/>
    <w:rsid w:val="005C52E1"/>
    <w:rsid w:val="005C5433"/>
    <w:rsid w:val="005C5DF8"/>
    <w:rsid w:val="005C6071"/>
    <w:rsid w:val="005C60F9"/>
    <w:rsid w:val="005C62C9"/>
    <w:rsid w:val="005C64BE"/>
    <w:rsid w:val="005C791E"/>
    <w:rsid w:val="005D0BE6"/>
    <w:rsid w:val="005D0F44"/>
    <w:rsid w:val="005D1330"/>
    <w:rsid w:val="005D15E5"/>
    <w:rsid w:val="005D1920"/>
    <w:rsid w:val="005D1AFC"/>
    <w:rsid w:val="005D201F"/>
    <w:rsid w:val="005D249B"/>
    <w:rsid w:val="005D253E"/>
    <w:rsid w:val="005D3EC3"/>
    <w:rsid w:val="005D46D8"/>
    <w:rsid w:val="005D4D5A"/>
    <w:rsid w:val="005D5517"/>
    <w:rsid w:val="005D5D59"/>
    <w:rsid w:val="005D7A2F"/>
    <w:rsid w:val="005E05F7"/>
    <w:rsid w:val="005E1335"/>
    <w:rsid w:val="005E1F41"/>
    <w:rsid w:val="005E214C"/>
    <w:rsid w:val="005E256E"/>
    <w:rsid w:val="005E2D5D"/>
    <w:rsid w:val="005E3F16"/>
    <w:rsid w:val="005E4C11"/>
    <w:rsid w:val="005E57F6"/>
    <w:rsid w:val="005E5880"/>
    <w:rsid w:val="005E5DB2"/>
    <w:rsid w:val="005E6C33"/>
    <w:rsid w:val="005E7CF7"/>
    <w:rsid w:val="005F0E69"/>
    <w:rsid w:val="005F1AD7"/>
    <w:rsid w:val="005F1C46"/>
    <w:rsid w:val="005F1D7C"/>
    <w:rsid w:val="005F2AE9"/>
    <w:rsid w:val="005F3ACE"/>
    <w:rsid w:val="005F44D6"/>
    <w:rsid w:val="005F52E1"/>
    <w:rsid w:val="005F710F"/>
    <w:rsid w:val="005F7CC6"/>
    <w:rsid w:val="005F7DAB"/>
    <w:rsid w:val="005F7E64"/>
    <w:rsid w:val="00600701"/>
    <w:rsid w:val="00600997"/>
    <w:rsid w:val="00602155"/>
    <w:rsid w:val="00603602"/>
    <w:rsid w:val="006037F8"/>
    <w:rsid w:val="00603CE2"/>
    <w:rsid w:val="00604AAB"/>
    <w:rsid w:val="0060521F"/>
    <w:rsid w:val="00605E55"/>
    <w:rsid w:val="00605E63"/>
    <w:rsid w:val="00607014"/>
    <w:rsid w:val="006070DD"/>
    <w:rsid w:val="006072C5"/>
    <w:rsid w:val="00607382"/>
    <w:rsid w:val="00607792"/>
    <w:rsid w:val="00607F67"/>
    <w:rsid w:val="00610004"/>
    <w:rsid w:val="0061016D"/>
    <w:rsid w:val="006103F6"/>
    <w:rsid w:val="0061067B"/>
    <w:rsid w:val="00610C8D"/>
    <w:rsid w:val="00611018"/>
    <w:rsid w:val="00611072"/>
    <w:rsid w:val="00611A50"/>
    <w:rsid w:val="00611C5E"/>
    <w:rsid w:val="00611EB3"/>
    <w:rsid w:val="006128AD"/>
    <w:rsid w:val="00612EDE"/>
    <w:rsid w:val="0061438E"/>
    <w:rsid w:val="00614A2A"/>
    <w:rsid w:val="00614E7A"/>
    <w:rsid w:val="006157CC"/>
    <w:rsid w:val="00615D35"/>
    <w:rsid w:val="00615E6D"/>
    <w:rsid w:val="00616436"/>
    <w:rsid w:val="0061671D"/>
    <w:rsid w:val="0061731C"/>
    <w:rsid w:val="006173E8"/>
    <w:rsid w:val="006178C5"/>
    <w:rsid w:val="00620626"/>
    <w:rsid w:val="00620D26"/>
    <w:rsid w:val="006226F0"/>
    <w:rsid w:val="006230F8"/>
    <w:rsid w:val="00623A51"/>
    <w:rsid w:val="00625608"/>
    <w:rsid w:val="00625FE1"/>
    <w:rsid w:val="00626030"/>
    <w:rsid w:val="00627586"/>
    <w:rsid w:val="00630655"/>
    <w:rsid w:val="00630F5C"/>
    <w:rsid w:val="00631134"/>
    <w:rsid w:val="00631580"/>
    <w:rsid w:val="006319E8"/>
    <w:rsid w:val="00631FD4"/>
    <w:rsid w:val="00632AA7"/>
    <w:rsid w:val="006333C9"/>
    <w:rsid w:val="006337E3"/>
    <w:rsid w:val="006338A3"/>
    <w:rsid w:val="00634154"/>
    <w:rsid w:val="00636606"/>
    <w:rsid w:val="00636D83"/>
    <w:rsid w:val="00636FAB"/>
    <w:rsid w:val="00637EA0"/>
    <w:rsid w:val="0064023A"/>
    <w:rsid w:val="0064115A"/>
    <w:rsid w:val="0064123E"/>
    <w:rsid w:val="00641557"/>
    <w:rsid w:val="006416DF"/>
    <w:rsid w:val="0064374A"/>
    <w:rsid w:val="0064499A"/>
    <w:rsid w:val="00644DF4"/>
    <w:rsid w:val="006458A7"/>
    <w:rsid w:val="00645B06"/>
    <w:rsid w:val="00645C8B"/>
    <w:rsid w:val="00645FF8"/>
    <w:rsid w:val="006461F0"/>
    <w:rsid w:val="006464C2"/>
    <w:rsid w:val="006471A4"/>
    <w:rsid w:val="00647486"/>
    <w:rsid w:val="0065064E"/>
    <w:rsid w:val="00650935"/>
    <w:rsid w:val="00651E1F"/>
    <w:rsid w:val="006535DE"/>
    <w:rsid w:val="00653DD5"/>
    <w:rsid w:val="00654DD3"/>
    <w:rsid w:val="00655169"/>
    <w:rsid w:val="00655CA4"/>
    <w:rsid w:val="00656947"/>
    <w:rsid w:val="00657149"/>
    <w:rsid w:val="00657322"/>
    <w:rsid w:val="00660F6A"/>
    <w:rsid w:val="00661618"/>
    <w:rsid w:val="00661B30"/>
    <w:rsid w:val="00662410"/>
    <w:rsid w:val="006631FD"/>
    <w:rsid w:val="00663C99"/>
    <w:rsid w:val="00663CC5"/>
    <w:rsid w:val="006653BE"/>
    <w:rsid w:val="006655CE"/>
    <w:rsid w:val="00667AAC"/>
    <w:rsid w:val="00670317"/>
    <w:rsid w:val="006707B7"/>
    <w:rsid w:val="006708ED"/>
    <w:rsid w:val="00670CED"/>
    <w:rsid w:val="0067129A"/>
    <w:rsid w:val="0067164D"/>
    <w:rsid w:val="00671E0C"/>
    <w:rsid w:val="006723C4"/>
    <w:rsid w:val="006728AF"/>
    <w:rsid w:val="00672E1E"/>
    <w:rsid w:val="006742BD"/>
    <w:rsid w:val="006746F7"/>
    <w:rsid w:val="00674A61"/>
    <w:rsid w:val="00674FE8"/>
    <w:rsid w:val="0067534D"/>
    <w:rsid w:val="00675475"/>
    <w:rsid w:val="006754AC"/>
    <w:rsid w:val="006754D2"/>
    <w:rsid w:val="00675571"/>
    <w:rsid w:val="00675579"/>
    <w:rsid w:val="00675E69"/>
    <w:rsid w:val="00676379"/>
    <w:rsid w:val="00676452"/>
    <w:rsid w:val="00680302"/>
    <w:rsid w:val="00680505"/>
    <w:rsid w:val="006805D4"/>
    <w:rsid w:val="00680E7F"/>
    <w:rsid w:val="00681145"/>
    <w:rsid w:val="00681A43"/>
    <w:rsid w:val="00682F71"/>
    <w:rsid w:val="006832B0"/>
    <w:rsid w:val="006835A4"/>
    <w:rsid w:val="006839B4"/>
    <w:rsid w:val="00683F41"/>
    <w:rsid w:val="00684385"/>
    <w:rsid w:val="006847AA"/>
    <w:rsid w:val="0068485B"/>
    <w:rsid w:val="00684AC7"/>
    <w:rsid w:val="00685001"/>
    <w:rsid w:val="006857F0"/>
    <w:rsid w:val="006863F6"/>
    <w:rsid w:val="00686470"/>
    <w:rsid w:val="00686548"/>
    <w:rsid w:val="00687069"/>
    <w:rsid w:val="00687D6B"/>
    <w:rsid w:val="006912FB"/>
    <w:rsid w:val="00691E32"/>
    <w:rsid w:val="0069255B"/>
    <w:rsid w:val="006934CD"/>
    <w:rsid w:val="00694DA6"/>
    <w:rsid w:val="0069514C"/>
    <w:rsid w:val="0069515B"/>
    <w:rsid w:val="00695C0A"/>
    <w:rsid w:val="00696A5C"/>
    <w:rsid w:val="0069715E"/>
    <w:rsid w:val="006979DF"/>
    <w:rsid w:val="006A05EA"/>
    <w:rsid w:val="006A0C38"/>
    <w:rsid w:val="006A116C"/>
    <w:rsid w:val="006A24D9"/>
    <w:rsid w:val="006A29A2"/>
    <w:rsid w:val="006A3A4B"/>
    <w:rsid w:val="006A4144"/>
    <w:rsid w:val="006A4259"/>
    <w:rsid w:val="006A579A"/>
    <w:rsid w:val="006A59A8"/>
    <w:rsid w:val="006A5E2D"/>
    <w:rsid w:val="006A640E"/>
    <w:rsid w:val="006A739E"/>
    <w:rsid w:val="006A76B9"/>
    <w:rsid w:val="006A7BCC"/>
    <w:rsid w:val="006B05E4"/>
    <w:rsid w:val="006B1335"/>
    <w:rsid w:val="006B2290"/>
    <w:rsid w:val="006B24B8"/>
    <w:rsid w:val="006B2EE7"/>
    <w:rsid w:val="006B317A"/>
    <w:rsid w:val="006B3609"/>
    <w:rsid w:val="006B3842"/>
    <w:rsid w:val="006B46BC"/>
    <w:rsid w:val="006B47A3"/>
    <w:rsid w:val="006B5F42"/>
    <w:rsid w:val="006B63A2"/>
    <w:rsid w:val="006B6831"/>
    <w:rsid w:val="006B70A4"/>
    <w:rsid w:val="006C02AB"/>
    <w:rsid w:val="006C0A83"/>
    <w:rsid w:val="006C11DB"/>
    <w:rsid w:val="006C1244"/>
    <w:rsid w:val="006C2A83"/>
    <w:rsid w:val="006C2C34"/>
    <w:rsid w:val="006C39EB"/>
    <w:rsid w:val="006C4795"/>
    <w:rsid w:val="006C4AED"/>
    <w:rsid w:val="006C4F26"/>
    <w:rsid w:val="006C540A"/>
    <w:rsid w:val="006C54B6"/>
    <w:rsid w:val="006C553D"/>
    <w:rsid w:val="006C56FC"/>
    <w:rsid w:val="006C5E6C"/>
    <w:rsid w:val="006C66C1"/>
    <w:rsid w:val="006C6A05"/>
    <w:rsid w:val="006C758F"/>
    <w:rsid w:val="006C7F2A"/>
    <w:rsid w:val="006D02E5"/>
    <w:rsid w:val="006D09A9"/>
    <w:rsid w:val="006D12A9"/>
    <w:rsid w:val="006D160D"/>
    <w:rsid w:val="006D227B"/>
    <w:rsid w:val="006D27E8"/>
    <w:rsid w:val="006D2D8B"/>
    <w:rsid w:val="006D3015"/>
    <w:rsid w:val="006D38D6"/>
    <w:rsid w:val="006D3B02"/>
    <w:rsid w:val="006D3B51"/>
    <w:rsid w:val="006D3BC6"/>
    <w:rsid w:val="006D3CAB"/>
    <w:rsid w:val="006D43C0"/>
    <w:rsid w:val="006D4508"/>
    <w:rsid w:val="006D4E05"/>
    <w:rsid w:val="006D4F75"/>
    <w:rsid w:val="006D590B"/>
    <w:rsid w:val="006D60F7"/>
    <w:rsid w:val="006D6FA8"/>
    <w:rsid w:val="006D789B"/>
    <w:rsid w:val="006D790C"/>
    <w:rsid w:val="006E04A8"/>
    <w:rsid w:val="006E080D"/>
    <w:rsid w:val="006E10B1"/>
    <w:rsid w:val="006E3474"/>
    <w:rsid w:val="006E37F5"/>
    <w:rsid w:val="006E38DB"/>
    <w:rsid w:val="006E405E"/>
    <w:rsid w:val="006E497A"/>
    <w:rsid w:val="006E6310"/>
    <w:rsid w:val="006E6C94"/>
    <w:rsid w:val="006E77E0"/>
    <w:rsid w:val="006E7AAF"/>
    <w:rsid w:val="006E7CDF"/>
    <w:rsid w:val="006F0E0D"/>
    <w:rsid w:val="006F27F5"/>
    <w:rsid w:val="006F301C"/>
    <w:rsid w:val="006F47CA"/>
    <w:rsid w:val="006F4E7C"/>
    <w:rsid w:val="006F508C"/>
    <w:rsid w:val="006F5F59"/>
    <w:rsid w:val="006F6ACE"/>
    <w:rsid w:val="006F7ADB"/>
    <w:rsid w:val="006F7B6E"/>
    <w:rsid w:val="0070001F"/>
    <w:rsid w:val="00700683"/>
    <w:rsid w:val="00700CE1"/>
    <w:rsid w:val="00700F42"/>
    <w:rsid w:val="0070101F"/>
    <w:rsid w:val="007010B6"/>
    <w:rsid w:val="0070180D"/>
    <w:rsid w:val="00701E1A"/>
    <w:rsid w:val="0070231A"/>
    <w:rsid w:val="00702812"/>
    <w:rsid w:val="00702F58"/>
    <w:rsid w:val="00703135"/>
    <w:rsid w:val="007039D0"/>
    <w:rsid w:val="00703DC3"/>
    <w:rsid w:val="007042A9"/>
    <w:rsid w:val="007043E2"/>
    <w:rsid w:val="007050B6"/>
    <w:rsid w:val="00705A8F"/>
    <w:rsid w:val="00705E47"/>
    <w:rsid w:val="007066D7"/>
    <w:rsid w:val="007069D6"/>
    <w:rsid w:val="007071FF"/>
    <w:rsid w:val="0070767F"/>
    <w:rsid w:val="007076B0"/>
    <w:rsid w:val="00707B02"/>
    <w:rsid w:val="00710F08"/>
    <w:rsid w:val="00711A10"/>
    <w:rsid w:val="00712581"/>
    <w:rsid w:val="00712BAE"/>
    <w:rsid w:val="00712C99"/>
    <w:rsid w:val="00712D79"/>
    <w:rsid w:val="00712F59"/>
    <w:rsid w:val="0071358F"/>
    <w:rsid w:val="00713C03"/>
    <w:rsid w:val="0071416F"/>
    <w:rsid w:val="00714AED"/>
    <w:rsid w:val="00715B39"/>
    <w:rsid w:val="00717FA2"/>
    <w:rsid w:val="007200E0"/>
    <w:rsid w:val="00721C1E"/>
    <w:rsid w:val="00722503"/>
    <w:rsid w:val="0072374D"/>
    <w:rsid w:val="00724115"/>
    <w:rsid w:val="0072441F"/>
    <w:rsid w:val="00726F23"/>
    <w:rsid w:val="00726F5E"/>
    <w:rsid w:val="0072709F"/>
    <w:rsid w:val="0072725C"/>
    <w:rsid w:val="00727797"/>
    <w:rsid w:val="00727DFD"/>
    <w:rsid w:val="00731471"/>
    <w:rsid w:val="00731B5C"/>
    <w:rsid w:val="00731C3D"/>
    <w:rsid w:val="00731D44"/>
    <w:rsid w:val="0073246B"/>
    <w:rsid w:val="007325A9"/>
    <w:rsid w:val="00732F8A"/>
    <w:rsid w:val="00733D73"/>
    <w:rsid w:val="00734016"/>
    <w:rsid w:val="007342C6"/>
    <w:rsid w:val="0073494C"/>
    <w:rsid w:val="007351C2"/>
    <w:rsid w:val="007379B5"/>
    <w:rsid w:val="00737EC4"/>
    <w:rsid w:val="007409EE"/>
    <w:rsid w:val="007420CB"/>
    <w:rsid w:val="00742471"/>
    <w:rsid w:val="0074334E"/>
    <w:rsid w:val="007435A6"/>
    <w:rsid w:val="00743BA5"/>
    <w:rsid w:val="0074486D"/>
    <w:rsid w:val="00744CED"/>
    <w:rsid w:val="007459B6"/>
    <w:rsid w:val="00746422"/>
    <w:rsid w:val="00746B6B"/>
    <w:rsid w:val="00747EBF"/>
    <w:rsid w:val="00750114"/>
    <w:rsid w:val="007504AA"/>
    <w:rsid w:val="00751C99"/>
    <w:rsid w:val="00752A01"/>
    <w:rsid w:val="00752DB5"/>
    <w:rsid w:val="007534A3"/>
    <w:rsid w:val="007534B0"/>
    <w:rsid w:val="0075380F"/>
    <w:rsid w:val="007540AB"/>
    <w:rsid w:val="007541FF"/>
    <w:rsid w:val="007542D7"/>
    <w:rsid w:val="007545B0"/>
    <w:rsid w:val="00754DA6"/>
    <w:rsid w:val="00755B4A"/>
    <w:rsid w:val="00756D95"/>
    <w:rsid w:val="0075718C"/>
    <w:rsid w:val="00760379"/>
    <w:rsid w:val="0076063F"/>
    <w:rsid w:val="00761674"/>
    <w:rsid w:val="007624EB"/>
    <w:rsid w:val="0076360F"/>
    <w:rsid w:val="007636FB"/>
    <w:rsid w:val="00763FA1"/>
    <w:rsid w:val="007642A6"/>
    <w:rsid w:val="007644F0"/>
    <w:rsid w:val="0076452C"/>
    <w:rsid w:val="00765401"/>
    <w:rsid w:val="00765AB3"/>
    <w:rsid w:val="007675BD"/>
    <w:rsid w:val="007675DD"/>
    <w:rsid w:val="0076768A"/>
    <w:rsid w:val="007707EA"/>
    <w:rsid w:val="007726D3"/>
    <w:rsid w:val="007728D3"/>
    <w:rsid w:val="00772A79"/>
    <w:rsid w:val="00772B29"/>
    <w:rsid w:val="00772C9C"/>
    <w:rsid w:val="0077361B"/>
    <w:rsid w:val="0077380F"/>
    <w:rsid w:val="0077393C"/>
    <w:rsid w:val="007740AB"/>
    <w:rsid w:val="00774396"/>
    <w:rsid w:val="00774EA3"/>
    <w:rsid w:val="00775025"/>
    <w:rsid w:val="00775E14"/>
    <w:rsid w:val="00776183"/>
    <w:rsid w:val="007762BF"/>
    <w:rsid w:val="0077680B"/>
    <w:rsid w:val="00776DD4"/>
    <w:rsid w:val="007770DD"/>
    <w:rsid w:val="007776F0"/>
    <w:rsid w:val="00777807"/>
    <w:rsid w:val="00777D01"/>
    <w:rsid w:val="0078012D"/>
    <w:rsid w:val="00781731"/>
    <w:rsid w:val="007820F5"/>
    <w:rsid w:val="00782132"/>
    <w:rsid w:val="00782459"/>
    <w:rsid w:val="0078275E"/>
    <w:rsid w:val="00783723"/>
    <w:rsid w:val="00783EE5"/>
    <w:rsid w:val="0078464D"/>
    <w:rsid w:val="00784B33"/>
    <w:rsid w:val="007854CE"/>
    <w:rsid w:val="0078588B"/>
    <w:rsid w:val="0078598B"/>
    <w:rsid w:val="00785A4F"/>
    <w:rsid w:val="007860AA"/>
    <w:rsid w:val="007866D4"/>
    <w:rsid w:val="00786839"/>
    <w:rsid w:val="0078711C"/>
    <w:rsid w:val="007872A2"/>
    <w:rsid w:val="00787328"/>
    <w:rsid w:val="007876B4"/>
    <w:rsid w:val="00787B7C"/>
    <w:rsid w:val="00787E5C"/>
    <w:rsid w:val="00787E75"/>
    <w:rsid w:val="0079024C"/>
    <w:rsid w:val="00790959"/>
    <w:rsid w:val="007920BD"/>
    <w:rsid w:val="007921E7"/>
    <w:rsid w:val="0079251A"/>
    <w:rsid w:val="0079307C"/>
    <w:rsid w:val="00793264"/>
    <w:rsid w:val="00793535"/>
    <w:rsid w:val="00793E87"/>
    <w:rsid w:val="00794CF9"/>
    <w:rsid w:val="00794E5D"/>
    <w:rsid w:val="0079695C"/>
    <w:rsid w:val="00796A4B"/>
    <w:rsid w:val="00797112"/>
    <w:rsid w:val="00797CB4"/>
    <w:rsid w:val="00797DA2"/>
    <w:rsid w:val="00797DC0"/>
    <w:rsid w:val="00797F01"/>
    <w:rsid w:val="007A0A4F"/>
    <w:rsid w:val="007A0B60"/>
    <w:rsid w:val="007A10D5"/>
    <w:rsid w:val="007A1533"/>
    <w:rsid w:val="007A1A13"/>
    <w:rsid w:val="007A2459"/>
    <w:rsid w:val="007A25B6"/>
    <w:rsid w:val="007A2F3D"/>
    <w:rsid w:val="007A300D"/>
    <w:rsid w:val="007A3D74"/>
    <w:rsid w:val="007A4D79"/>
    <w:rsid w:val="007A5648"/>
    <w:rsid w:val="007A5D09"/>
    <w:rsid w:val="007A6941"/>
    <w:rsid w:val="007A695F"/>
    <w:rsid w:val="007A69CF"/>
    <w:rsid w:val="007A6F2A"/>
    <w:rsid w:val="007A7335"/>
    <w:rsid w:val="007A74A8"/>
    <w:rsid w:val="007B08F4"/>
    <w:rsid w:val="007B0912"/>
    <w:rsid w:val="007B0B43"/>
    <w:rsid w:val="007B0D91"/>
    <w:rsid w:val="007B0F0A"/>
    <w:rsid w:val="007B0F32"/>
    <w:rsid w:val="007B142C"/>
    <w:rsid w:val="007B207A"/>
    <w:rsid w:val="007B252E"/>
    <w:rsid w:val="007B2CF4"/>
    <w:rsid w:val="007B33A7"/>
    <w:rsid w:val="007B3424"/>
    <w:rsid w:val="007B3FB8"/>
    <w:rsid w:val="007B420D"/>
    <w:rsid w:val="007B44BD"/>
    <w:rsid w:val="007B50BB"/>
    <w:rsid w:val="007B611F"/>
    <w:rsid w:val="007B650E"/>
    <w:rsid w:val="007B65A3"/>
    <w:rsid w:val="007B6834"/>
    <w:rsid w:val="007B69BE"/>
    <w:rsid w:val="007B6B41"/>
    <w:rsid w:val="007B71F7"/>
    <w:rsid w:val="007B7253"/>
    <w:rsid w:val="007B7EC5"/>
    <w:rsid w:val="007C1957"/>
    <w:rsid w:val="007C22C7"/>
    <w:rsid w:val="007C2867"/>
    <w:rsid w:val="007C2924"/>
    <w:rsid w:val="007C3DD2"/>
    <w:rsid w:val="007C3F34"/>
    <w:rsid w:val="007C42AF"/>
    <w:rsid w:val="007C4DE7"/>
    <w:rsid w:val="007C53EA"/>
    <w:rsid w:val="007C5B25"/>
    <w:rsid w:val="007C5EFA"/>
    <w:rsid w:val="007C6025"/>
    <w:rsid w:val="007C61C4"/>
    <w:rsid w:val="007C624A"/>
    <w:rsid w:val="007C62DA"/>
    <w:rsid w:val="007C62FB"/>
    <w:rsid w:val="007C7976"/>
    <w:rsid w:val="007C7ABC"/>
    <w:rsid w:val="007D0F99"/>
    <w:rsid w:val="007D11F0"/>
    <w:rsid w:val="007D127E"/>
    <w:rsid w:val="007D1904"/>
    <w:rsid w:val="007D200E"/>
    <w:rsid w:val="007D23F8"/>
    <w:rsid w:val="007D28E5"/>
    <w:rsid w:val="007D373A"/>
    <w:rsid w:val="007D3BA2"/>
    <w:rsid w:val="007D52B8"/>
    <w:rsid w:val="007D5786"/>
    <w:rsid w:val="007D74BD"/>
    <w:rsid w:val="007D7531"/>
    <w:rsid w:val="007D786B"/>
    <w:rsid w:val="007D78E0"/>
    <w:rsid w:val="007E0C8E"/>
    <w:rsid w:val="007E12B5"/>
    <w:rsid w:val="007E141C"/>
    <w:rsid w:val="007E1432"/>
    <w:rsid w:val="007E2B1D"/>
    <w:rsid w:val="007E3410"/>
    <w:rsid w:val="007E3B5F"/>
    <w:rsid w:val="007E3B89"/>
    <w:rsid w:val="007E41A1"/>
    <w:rsid w:val="007E4731"/>
    <w:rsid w:val="007E6356"/>
    <w:rsid w:val="007E673A"/>
    <w:rsid w:val="007E68C5"/>
    <w:rsid w:val="007E6B48"/>
    <w:rsid w:val="007E6DA1"/>
    <w:rsid w:val="007E6EAD"/>
    <w:rsid w:val="007E6FE1"/>
    <w:rsid w:val="007E77E8"/>
    <w:rsid w:val="007E7E53"/>
    <w:rsid w:val="007F0D32"/>
    <w:rsid w:val="007F1B15"/>
    <w:rsid w:val="007F1BFE"/>
    <w:rsid w:val="007F217B"/>
    <w:rsid w:val="007F2261"/>
    <w:rsid w:val="007F2320"/>
    <w:rsid w:val="007F2625"/>
    <w:rsid w:val="007F2A18"/>
    <w:rsid w:val="007F2F8D"/>
    <w:rsid w:val="007F355F"/>
    <w:rsid w:val="007F3B64"/>
    <w:rsid w:val="007F5EE4"/>
    <w:rsid w:val="007F6F64"/>
    <w:rsid w:val="007F712A"/>
    <w:rsid w:val="007F725D"/>
    <w:rsid w:val="007F7556"/>
    <w:rsid w:val="00800D09"/>
    <w:rsid w:val="00801247"/>
    <w:rsid w:val="0080242E"/>
    <w:rsid w:val="008034F0"/>
    <w:rsid w:val="008035B6"/>
    <w:rsid w:val="008035C0"/>
    <w:rsid w:val="0080518E"/>
    <w:rsid w:val="00805FBA"/>
    <w:rsid w:val="00806303"/>
    <w:rsid w:val="00806A51"/>
    <w:rsid w:val="00810599"/>
    <w:rsid w:val="008108D5"/>
    <w:rsid w:val="008109F2"/>
    <w:rsid w:val="00811929"/>
    <w:rsid w:val="00812B58"/>
    <w:rsid w:val="00813955"/>
    <w:rsid w:val="00814EC4"/>
    <w:rsid w:val="008153ED"/>
    <w:rsid w:val="008155CB"/>
    <w:rsid w:val="00815659"/>
    <w:rsid w:val="00815C0C"/>
    <w:rsid w:val="008165D5"/>
    <w:rsid w:val="0081706F"/>
    <w:rsid w:val="00817537"/>
    <w:rsid w:val="008177AA"/>
    <w:rsid w:val="00817C05"/>
    <w:rsid w:val="00820426"/>
    <w:rsid w:val="00820B64"/>
    <w:rsid w:val="00820BA6"/>
    <w:rsid w:val="00821007"/>
    <w:rsid w:val="00821026"/>
    <w:rsid w:val="008211FB"/>
    <w:rsid w:val="00822C91"/>
    <w:rsid w:val="00823297"/>
    <w:rsid w:val="0082365F"/>
    <w:rsid w:val="008238AC"/>
    <w:rsid w:val="00824269"/>
    <w:rsid w:val="00824DB5"/>
    <w:rsid w:val="00824F6B"/>
    <w:rsid w:val="00824FDB"/>
    <w:rsid w:val="00825322"/>
    <w:rsid w:val="00825711"/>
    <w:rsid w:val="00825E19"/>
    <w:rsid w:val="00826662"/>
    <w:rsid w:val="008267E0"/>
    <w:rsid w:val="008270C8"/>
    <w:rsid w:val="00827189"/>
    <w:rsid w:val="008301E7"/>
    <w:rsid w:val="008301EC"/>
    <w:rsid w:val="008306C1"/>
    <w:rsid w:val="00830814"/>
    <w:rsid w:val="00831B8A"/>
    <w:rsid w:val="00831E7C"/>
    <w:rsid w:val="0083269C"/>
    <w:rsid w:val="0083284B"/>
    <w:rsid w:val="00832B5F"/>
    <w:rsid w:val="0083321E"/>
    <w:rsid w:val="00833325"/>
    <w:rsid w:val="00833437"/>
    <w:rsid w:val="00833836"/>
    <w:rsid w:val="00833E74"/>
    <w:rsid w:val="00834DDB"/>
    <w:rsid w:val="008352F5"/>
    <w:rsid w:val="00835E1C"/>
    <w:rsid w:val="00836219"/>
    <w:rsid w:val="00837127"/>
    <w:rsid w:val="00840047"/>
    <w:rsid w:val="00841387"/>
    <w:rsid w:val="008421A6"/>
    <w:rsid w:val="0084288E"/>
    <w:rsid w:val="00842EC3"/>
    <w:rsid w:val="0084307B"/>
    <w:rsid w:val="0084325A"/>
    <w:rsid w:val="008436D8"/>
    <w:rsid w:val="00843AEC"/>
    <w:rsid w:val="00843D8E"/>
    <w:rsid w:val="008446ED"/>
    <w:rsid w:val="00844896"/>
    <w:rsid w:val="00844ABC"/>
    <w:rsid w:val="00845444"/>
    <w:rsid w:val="00845627"/>
    <w:rsid w:val="008475CC"/>
    <w:rsid w:val="00847EB5"/>
    <w:rsid w:val="008500E5"/>
    <w:rsid w:val="00850473"/>
    <w:rsid w:val="00850FBF"/>
    <w:rsid w:val="00851B12"/>
    <w:rsid w:val="00851BF9"/>
    <w:rsid w:val="00852701"/>
    <w:rsid w:val="00852FD5"/>
    <w:rsid w:val="008533EB"/>
    <w:rsid w:val="008535B3"/>
    <w:rsid w:val="00853610"/>
    <w:rsid w:val="00854377"/>
    <w:rsid w:val="008543C0"/>
    <w:rsid w:val="00854476"/>
    <w:rsid w:val="008550E6"/>
    <w:rsid w:val="00855F9A"/>
    <w:rsid w:val="00856A0F"/>
    <w:rsid w:val="00856CC5"/>
    <w:rsid w:val="00856F06"/>
    <w:rsid w:val="00857175"/>
    <w:rsid w:val="00857787"/>
    <w:rsid w:val="0086016C"/>
    <w:rsid w:val="0086167F"/>
    <w:rsid w:val="0086195F"/>
    <w:rsid w:val="00861AB8"/>
    <w:rsid w:val="00863B69"/>
    <w:rsid w:val="00863C72"/>
    <w:rsid w:val="00863EF4"/>
    <w:rsid w:val="00864F96"/>
    <w:rsid w:val="00865599"/>
    <w:rsid w:val="00865F62"/>
    <w:rsid w:val="0086618C"/>
    <w:rsid w:val="00866B29"/>
    <w:rsid w:val="00867A6B"/>
    <w:rsid w:val="00867DB5"/>
    <w:rsid w:val="008703B1"/>
    <w:rsid w:val="0087196A"/>
    <w:rsid w:val="008719B9"/>
    <w:rsid w:val="00871D93"/>
    <w:rsid w:val="00873307"/>
    <w:rsid w:val="0087344D"/>
    <w:rsid w:val="00873926"/>
    <w:rsid w:val="00873BB8"/>
    <w:rsid w:val="0087404D"/>
    <w:rsid w:val="008740BD"/>
    <w:rsid w:val="008740F5"/>
    <w:rsid w:val="008745B2"/>
    <w:rsid w:val="00874907"/>
    <w:rsid w:val="008752DE"/>
    <w:rsid w:val="00875ECD"/>
    <w:rsid w:val="00876E2E"/>
    <w:rsid w:val="008773B3"/>
    <w:rsid w:val="008778AD"/>
    <w:rsid w:val="00877CF1"/>
    <w:rsid w:val="008827EC"/>
    <w:rsid w:val="008838D0"/>
    <w:rsid w:val="00884130"/>
    <w:rsid w:val="0088580A"/>
    <w:rsid w:val="00885E14"/>
    <w:rsid w:val="008860E6"/>
    <w:rsid w:val="0088735D"/>
    <w:rsid w:val="00887608"/>
    <w:rsid w:val="00887771"/>
    <w:rsid w:val="00890212"/>
    <w:rsid w:val="008902EE"/>
    <w:rsid w:val="008911D3"/>
    <w:rsid w:val="00891677"/>
    <w:rsid w:val="00892A23"/>
    <w:rsid w:val="008937FF"/>
    <w:rsid w:val="0089414B"/>
    <w:rsid w:val="00894226"/>
    <w:rsid w:val="00894C80"/>
    <w:rsid w:val="00894DFC"/>
    <w:rsid w:val="0089610D"/>
    <w:rsid w:val="00896EAF"/>
    <w:rsid w:val="00896F22"/>
    <w:rsid w:val="008972CA"/>
    <w:rsid w:val="008977E3"/>
    <w:rsid w:val="00897C3F"/>
    <w:rsid w:val="00897CC7"/>
    <w:rsid w:val="00897E55"/>
    <w:rsid w:val="008A0507"/>
    <w:rsid w:val="008A13B8"/>
    <w:rsid w:val="008A188A"/>
    <w:rsid w:val="008A1A80"/>
    <w:rsid w:val="008A3135"/>
    <w:rsid w:val="008A398A"/>
    <w:rsid w:val="008A412D"/>
    <w:rsid w:val="008A5621"/>
    <w:rsid w:val="008A5634"/>
    <w:rsid w:val="008A6281"/>
    <w:rsid w:val="008A67D6"/>
    <w:rsid w:val="008A6A7E"/>
    <w:rsid w:val="008A6D78"/>
    <w:rsid w:val="008A747B"/>
    <w:rsid w:val="008A7BA6"/>
    <w:rsid w:val="008B0DA2"/>
    <w:rsid w:val="008B0E25"/>
    <w:rsid w:val="008B0F73"/>
    <w:rsid w:val="008B2341"/>
    <w:rsid w:val="008B27E1"/>
    <w:rsid w:val="008B2D6E"/>
    <w:rsid w:val="008B2F34"/>
    <w:rsid w:val="008B3660"/>
    <w:rsid w:val="008B5DC4"/>
    <w:rsid w:val="008B72A6"/>
    <w:rsid w:val="008C0927"/>
    <w:rsid w:val="008C10B3"/>
    <w:rsid w:val="008C1288"/>
    <w:rsid w:val="008C1606"/>
    <w:rsid w:val="008C189A"/>
    <w:rsid w:val="008C21F0"/>
    <w:rsid w:val="008C2684"/>
    <w:rsid w:val="008C27AC"/>
    <w:rsid w:val="008C4302"/>
    <w:rsid w:val="008C4794"/>
    <w:rsid w:val="008C4AF4"/>
    <w:rsid w:val="008C51D5"/>
    <w:rsid w:val="008C5CD1"/>
    <w:rsid w:val="008C667F"/>
    <w:rsid w:val="008C67CF"/>
    <w:rsid w:val="008C6B52"/>
    <w:rsid w:val="008C6DE3"/>
    <w:rsid w:val="008C6EEE"/>
    <w:rsid w:val="008C7052"/>
    <w:rsid w:val="008C7334"/>
    <w:rsid w:val="008C7533"/>
    <w:rsid w:val="008C7559"/>
    <w:rsid w:val="008C770E"/>
    <w:rsid w:val="008D096F"/>
    <w:rsid w:val="008D0C2B"/>
    <w:rsid w:val="008D0DA7"/>
    <w:rsid w:val="008D1360"/>
    <w:rsid w:val="008D138F"/>
    <w:rsid w:val="008D2480"/>
    <w:rsid w:val="008D253E"/>
    <w:rsid w:val="008D337A"/>
    <w:rsid w:val="008D4082"/>
    <w:rsid w:val="008D4449"/>
    <w:rsid w:val="008D4956"/>
    <w:rsid w:val="008D5AE1"/>
    <w:rsid w:val="008D669D"/>
    <w:rsid w:val="008D6A6E"/>
    <w:rsid w:val="008D7B08"/>
    <w:rsid w:val="008E06B2"/>
    <w:rsid w:val="008E07C9"/>
    <w:rsid w:val="008E127B"/>
    <w:rsid w:val="008E18BF"/>
    <w:rsid w:val="008E1ADA"/>
    <w:rsid w:val="008E1DF3"/>
    <w:rsid w:val="008E24DD"/>
    <w:rsid w:val="008E344E"/>
    <w:rsid w:val="008E3635"/>
    <w:rsid w:val="008E3A82"/>
    <w:rsid w:val="008E4390"/>
    <w:rsid w:val="008E4758"/>
    <w:rsid w:val="008E4CC0"/>
    <w:rsid w:val="008E4D25"/>
    <w:rsid w:val="008E4F35"/>
    <w:rsid w:val="008E5302"/>
    <w:rsid w:val="008E54B2"/>
    <w:rsid w:val="008E5948"/>
    <w:rsid w:val="008E5B7F"/>
    <w:rsid w:val="008E6107"/>
    <w:rsid w:val="008F1865"/>
    <w:rsid w:val="008F20DA"/>
    <w:rsid w:val="008F24C7"/>
    <w:rsid w:val="008F25B0"/>
    <w:rsid w:val="008F2841"/>
    <w:rsid w:val="008F44C3"/>
    <w:rsid w:val="008F5671"/>
    <w:rsid w:val="008F59AC"/>
    <w:rsid w:val="008F5AF5"/>
    <w:rsid w:val="008F5B3A"/>
    <w:rsid w:val="008F5B64"/>
    <w:rsid w:val="008F704F"/>
    <w:rsid w:val="008F792E"/>
    <w:rsid w:val="00900EA6"/>
    <w:rsid w:val="00901738"/>
    <w:rsid w:val="00901823"/>
    <w:rsid w:val="00901E79"/>
    <w:rsid w:val="00902998"/>
    <w:rsid w:val="00902A55"/>
    <w:rsid w:val="00902F4B"/>
    <w:rsid w:val="00903359"/>
    <w:rsid w:val="009036EB"/>
    <w:rsid w:val="009044CD"/>
    <w:rsid w:val="009055FC"/>
    <w:rsid w:val="00905AB3"/>
    <w:rsid w:val="009075E0"/>
    <w:rsid w:val="009076CE"/>
    <w:rsid w:val="009078F7"/>
    <w:rsid w:val="00907B31"/>
    <w:rsid w:val="00907DB9"/>
    <w:rsid w:val="00910266"/>
    <w:rsid w:val="00910BED"/>
    <w:rsid w:val="009113C7"/>
    <w:rsid w:val="00912044"/>
    <w:rsid w:val="009120A0"/>
    <w:rsid w:val="00912B8C"/>
    <w:rsid w:val="00913743"/>
    <w:rsid w:val="009146FB"/>
    <w:rsid w:val="0091471B"/>
    <w:rsid w:val="00914E77"/>
    <w:rsid w:val="009151E3"/>
    <w:rsid w:val="00916B3E"/>
    <w:rsid w:val="00917046"/>
    <w:rsid w:val="0091719A"/>
    <w:rsid w:val="00917A52"/>
    <w:rsid w:val="00917B7B"/>
    <w:rsid w:val="00917B8F"/>
    <w:rsid w:val="009201D9"/>
    <w:rsid w:val="00920298"/>
    <w:rsid w:val="009208C8"/>
    <w:rsid w:val="00920A00"/>
    <w:rsid w:val="0092105B"/>
    <w:rsid w:val="00921A18"/>
    <w:rsid w:val="00921AC0"/>
    <w:rsid w:val="00921FBA"/>
    <w:rsid w:val="0092267C"/>
    <w:rsid w:val="00922B5D"/>
    <w:rsid w:val="00923B65"/>
    <w:rsid w:val="0092424E"/>
    <w:rsid w:val="009252D7"/>
    <w:rsid w:val="0092532D"/>
    <w:rsid w:val="00925669"/>
    <w:rsid w:val="009256F3"/>
    <w:rsid w:val="009256FF"/>
    <w:rsid w:val="009274E9"/>
    <w:rsid w:val="009275E0"/>
    <w:rsid w:val="00927814"/>
    <w:rsid w:val="00927849"/>
    <w:rsid w:val="0093154C"/>
    <w:rsid w:val="009319C7"/>
    <w:rsid w:val="00931C8A"/>
    <w:rsid w:val="00931E59"/>
    <w:rsid w:val="00931EB6"/>
    <w:rsid w:val="00932DCF"/>
    <w:rsid w:val="0093334E"/>
    <w:rsid w:val="00933657"/>
    <w:rsid w:val="00933C9F"/>
    <w:rsid w:val="0093433A"/>
    <w:rsid w:val="009351D4"/>
    <w:rsid w:val="00935398"/>
    <w:rsid w:val="00935939"/>
    <w:rsid w:val="00936FFB"/>
    <w:rsid w:val="009372C5"/>
    <w:rsid w:val="00941505"/>
    <w:rsid w:val="00941828"/>
    <w:rsid w:val="009424C2"/>
    <w:rsid w:val="009426AE"/>
    <w:rsid w:val="009430E0"/>
    <w:rsid w:val="009432CF"/>
    <w:rsid w:val="00943687"/>
    <w:rsid w:val="00943DDA"/>
    <w:rsid w:val="0094435C"/>
    <w:rsid w:val="009449CD"/>
    <w:rsid w:val="00944DCA"/>
    <w:rsid w:val="009454AB"/>
    <w:rsid w:val="00945661"/>
    <w:rsid w:val="00945D9D"/>
    <w:rsid w:val="00945EE9"/>
    <w:rsid w:val="00946CEC"/>
    <w:rsid w:val="009476E0"/>
    <w:rsid w:val="00947B80"/>
    <w:rsid w:val="00947FFE"/>
    <w:rsid w:val="009506E7"/>
    <w:rsid w:val="0095181A"/>
    <w:rsid w:val="00952697"/>
    <w:rsid w:val="009526B7"/>
    <w:rsid w:val="00952AEC"/>
    <w:rsid w:val="00954183"/>
    <w:rsid w:val="00954A69"/>
    <w:rsid w:val="00954C8D"/>
    <w:rsid w:val="00955881"/>
    <w:rsid w:val="00955993"/>
    <w:rsid w:val="00956768"/>
    <w:rsid w:val="009572CE"/>
    <w:rsid w:val="0095796C"/>
    <w:rsid w:val="00957E41"/>
    <w:rsid w:val="009622DB"/>
    <w:rsid w:val="00962538"/>
    <w:rsid w:val="00962920"/>
    <w:rsid w:val="009636F5"/>
    <w:rsid w:val="00963B3B"/>
    <w:rsid w:val="0096417A"/>
    <w:rsid w:val="009645B7"/>
    <w:rsid w:val="00964F0D"/>
    <w:rsid w:val="009652AF"/>
    <w:rsid w:val="00965F38"/>
    <w:rsid w:val="0096701A"/>
    <w:rsid w:val="009713F6"/>
    <w:rsid w:val="0097425F"/>
    <w:rsid w:val="00974AE0"/>
    <w:rsid w:val="0097505E"/>
    <w:rsid w:val="009750EF"/>
    <w:rsid w:val="00975831"/>
    <w:rsid w:val="009758E5"/>
    <w:rsid w:val="00975A4C"/>
    <w:rsid w:val="0097775B"/>
    <w:rsid w:val="00977F76"/>
    <w:rsid w:val="00984364"/>
    <w:rsid w:val="009843A3"/>
    <w:rsid w:val="0098450A"/>
    <w:rsid w:val="00984BFD"/>
    <w:rsid w:val="009852B7"/>
    <w:rsid w:val="00985805"/>
    <w:rsid w:val="0098595D"/>
    <w:rsid w:val="00985C64"/>
    <w:rsid w:val="00985CE6"/>
    <w:rsid w:val="00990035"/>
    <w:rsid w:val="00990427"/>
    <w:rsid w:val="00991C71"/>
    <w:rsid w:val="00991D37"/>
    <w:rsid w:val="00992541"/>
    <w:rsid w:val="0099274E"/>
    <w:rsid w:val="009927EC"/>
    <w:rsid w:val="00992E42"/>
    <w:rsid w:val="00993D57"/>
    <w:rsid w:val="00993E7C"/>
    <w:rsid w:val="00993F43"/>
    <w:rsid w:val="009942C7"/>
    <w:rsid w:val="0099467E"/>
    <w:rsid w:val="00995470"/>
    <w:rsid w:val="00995792"/>
    <w:rsid w:val="009959AF"/>
    <w:rsid w:val="00996AAB"/>
    <w:rsid w:val="009971C4"/>
    <w:rsid w:val="00997A48"/>
    <w:rsid w:val="009A0956"/>
    <w:rsid w:val="009A1D60"/>
    <w:rsid w:val="009A20DE"/>
    <w:rsid w:val="009A32B2"/>
    <w:rsid w:val="009A3891"/>
    <w:rsid w:val="009A5117"/>
    <w:rsid w:val="009A536D"/>
    <w:rsid w:val="009A5D56"/>
    <w:rsid w:val="009A5EC1"/>
    <w:rsid w:val="009A69A8"/>
    <w:rsid w:val="009A7289"/>
    <w:rsid w:val="009B00E9"/>
    <w:rsid w:val="009B063C"/>
    <w:rsid w:val="009B2875"/>
    <w:rsid w:val="009B2891"/>
    <w:rsid w:val="009B2EE4"/>
    <w:rsid w:val="009B2F6E"/>
    <w:rsid w:val="009B3BB7"/>
    <w:rsid w:val="009B4759"/>
    <w:rsid w:val="009B483B"/>
    <w:rsid w:val="009B4F60"/>
    <w:rsid w:val="009B546C"/>
    <w:rsid w:val="009B55FD"/>
    <w:rsid w:val="009B5E25"/>
    <w:rsid w:val="009B680A"/>
    <w:rsid w:val="009B6E8E"/>
    <w:rsid w:val="009B7F49"/>
    <w:rsid w:val="009C0812"/>
    <w:rsid w:val="009C0D39"/>
    <w:rsid w:val="009C1515"/>
    <w:rsid w:val="009C1FB6"/>
    <w:rsid w:val="009C215C"/>
    <w:rsid w:val="009C232D"/>
    <w:rsid w:val="009C2396"/>
    <w:rsid w:val="009C26A9"/>
    <w:rsid w:val="009C2914"/>
    <w:rsid w:val="009C3353"/>
    <w:rsid w:val="009C35E8"/>
    <w:rsid w:val="009C37D6"/>
    <w:rsid w:val="009C4956"/>
    <w:rsid w:val="009C4C96"/>
    <w:rsid w:val="009C54C9"/>
    <w:rsid w:val="009C6B41"/>
    <w:rsid w:val="009C70AF"/>
    <w:rsid w:val="009C74F8"/>
    <w:rsid w:val="009C7BA5"/>
    <w:rsid w:val="009D02C3"/>
    <w:rsid w:val="009D0938"/>
    <w:rsid w:val="009D0EE4"/>
    <w:rsid w:val="009D1AF7"/>
    <w:rsid w:val="009D2628"/>
    <w:rsid w:val="009D265F"/>
    <w:rsid w:val="009D2FE4"/>
    <w:rsid w:val="009D3039"/>
    <w:rsid w:val="009D30C9"/>
    <w:rsid w:val="009D3A61"/>
    <w:rsid w:val="009D3E03"/>
    <w:rsid w:val="009D41E3"/>
    <w:rsid w:val="009D5204"/>
    <w:rsid w:val="009D539A"/>
    <w:rsid w:val="009D55FC"/>
    <w:rsid w:val="009D5BAA"/>
    <w:rsid w:val="009D5E78"/>
    <w:rsid w:val="009D6A22"/>
    <w:rsid w:val="009D7095"/>
    <w:rsid w:val="009D7EA9"/>
    <w:rsid w:val="009E13DA"/>
    <w:rsid w:val="009E1B88"/>
    <w:rsid w:val="009E2760"/>
    <w:rsid w:val="009E2F9F"/>
    <w:rsid w:val="009E32AC"/>
    <w:rsid w:val="009E33A4"/>
    <w:rsid w:val="009E3A48"/>
    <w:rsid w:val="009E4044"/>
    <w:rsid w:val="009E52F3"/>
    <w:rsid w:val="009E569C"/>
    <w:rsid w:val="009E59C2"/>
    <w:rsid w:val="009E5ED4"/>
    <w:rsid w:val="009E68D2"/>
    <w:rsid w:val="009F0AD2"/>
    <w:rsid w:val="009F0B79"/>
    <w:rsid w:val="009F0E06"/>
    <w:rsid w:val="009F0F21"/>
    <w:rsid w:val="009F211F"/>
    <w:rsid w:val="009F2BDF"/>
    <w:rsid w:val="009F3781"/>
    <w:rsid w:val="009F3A21"/>
    <w:rsid w:val="009F3FAD"/>
    <w:rsid w:val="009F4149"/>
    <w:rsid w:val="009F51BD"/>
    <w:rsid w:val="009F60C8"/>
    <w:rsid w:val="009F61E0"/>
    <w:rsid w:val="009F6212"/>
    <w:rsid w:val="009F73CC"/>
    <w:rsid w:val="009F753A"/>
    <w:rsid w:val="009F7F76"/>
    <w:rsid w:val="00A00494"/>
    <w:rsid w:val="00A01409"/>
    <w:rsid w:val="00A01488"/>
    <w:rsid w:val="00A014C5"/>
    <w:rsid w:val="00A01919"/>
    <w:rsid w:val="00A01EC2"/>
    <w:rsid w:val="00A0409C"/>
    <w:rsid w:val="00A06BE4"/>
    <w:rsid w:val="00A0734A"/>
    <w:rsid w:val="00A076F5"/>
    <w:rsid w:val="00A11659"/>
    <w:rsid w:val="00A11774"/>
    <w:rsid w:val="00A12672"/>
    <w:rsid w:val="00A12BAF"/>
    <w:rsid w:val="00A13981"/>
    <w:rsid w:val="00A13ED6"/>
    <w:rsid w:val="00A17362"/>
    <w:rsid w:val="00A178AE"/>
    <w:rsid w:val="00A17D7A"/>
    <w:rsid w:val="00A17F60"/>
    <w:rsid w:val="00A2018A"/>
    <w:rsid w:val="00A215DE"/>
    <w:rsid w:val="00A230BA"/>
    <w:rsid w:val="00A236FC"/>
    <w:rsid w:val="00A259B9"/>
    <w:rsid w:val="00A259D5"/>
    <w:rsid w:val="00A25AF7"/>
    <w:rsid w:val="00A2654C"/>
    <w:rsid w:val="00A318EB"/>
    <w:rsid w:val="00A3252B"/>
    <w:rsid w:val="00A32B85"/>
    <w:rsid w:val="00A35337"/>
    <w:rsid w:val="00A35500"/>
    <w:rsid w:val="00A35AA7"/>
    <w:rsid w:val="00A36593"/>
    <w:rsid w:val="00A369DB"/>
    <w:rsid w:val="00A36E77"/>
    <w:rsid w:val="00A371D1"/>
    <w:rsid w:val="00A402A1"/>
    <w:rsid w:val="00A41D77"/>
    <w:rsid w:val="00A4238A"/>
    <w:rsid w:val="00A4299E"/>
    <w:rsid w:val="00A42DAB"/>
    <w:rsid w:val="00A43778"/>
    <w:rsid w:val="00A43C72"/>
    <w:rsid w:val="00A44ED8"/>
    <w:rsid w:val="00A45A31"/>
    <w:rsid w:val="00A45B79"/>
    <w:rsid w:val="00A46987"/>
    <w:rsid w:val="00A47229"/>
    <w:rsid w:val="00A476A5"/>
    <w:rsid w:val="00A47A10"/>
    <w:rsid w:val="00A47C4D"/>
    <w:rsid w:val="00A50525"/>
    <w:rsid w:val="00A50C26"/>
    <w:rsid w:val="00A51C3F"/>
    <w:rsid w:val="00A52008"/>
    <w:rsid w:val="00A5278A"/>
    <w:rsid w:val="00A535A1"/>
    <w:rsid w:val="00A540D9"/>
    <w:rsid w:val="00A5432B"/>
    <w:rsid w:val="00A54564"/>
    <w:rsid w:val="00A54AAA"/>
    <w:rsid w:val="00A5508E"/>
    <w:rsid w:val="00A55896"/>
    <w:rsid w:val="00A558BD"/>
    <w:rsid w:val="00A55B1F"/>
    <w:rsid w:val="00A57B46"/>
    <w:rsid w:val="00A57C5F"/>
    <w:rsid w:val="00A60219"/>
    <w:rsid w:val="00A61765"/>
    <w:rsid w:val="00A62359"/>
    <w:rsid w:val="00A623FC"/>
    <w:rsid w:val="00A62AC5"/>
    <w:rsid w:val="00A62B11"/>
    <w:rsid w:val="00A63391"/>
    <w:rsid w:val="00A6359B"/>
    <w:rsid w:val="00A64443"/>
    <w:rsid w:val="00A6483E"/>
    <w:rsid w:val="00A64903"/>
    <w:rsid w:val="00A64F9D"/>
    <w:rsid w:val="00A652C3"/>
    <w:rsid w:val="00A65D57"/>
    <w:rsid w:val="00A6652F"/>
    <w:rsid w:val="00A66963"/>
    <w:rsid w:val="00A66FF4"/>
    <w:rsid w:val="00A67BBB"/>
    <w:rsid w:val="00A70994"/>
    <w:rsid w:val="00A70B6A"/>
    <w:rsid w:val="00A711EE"/>
    <w:rsid w:val="00A712C9"/>
    <w:rsid w:val="00A71378"/>
    <w:rsid w:val="00A71383"/>
    <w:rsid w:val="00A71AB5"/>
    <w:rsid w:val="00A72082"/>
    <w:rsid w:val="00A72CFA"/>
    <w:rsid w:val="00A73495"/>
    <w:rsid w:val="00A738B9"/>
    <w:rsid w:val="00A74307"/>
    <w:rsid w:val="00A744C1"/>
    <w:rsid w:val="00A74843"/>
    <w:rsid w:val="00A75025"/>
    <w:rsid w:val="00A76457"/>
    <w:rsid w:val="00A76A51"/>
    <w:rsid w:val="00A82C7B"/>
    <w:rsid w:val="00A83397"/>
    <w:rsid w:val="00A83CEF"/>
    <w:rsid w:val="00A8485E"/>
    <w:rsid w:val="00A84AF5"/>
    <w:rsid w:val="00A85653"/>
    <w:rsid w:val="00A85A5A"/>
    <w:rsid w:val="00A85E94"/>
    <w:rsid w:val="00A8601F"/>
    <w:rsid w:val="00A86C15"/>
    <w:rsid w:val="00A86F73"/>
    <w:rsid w:val="00A87992"/>
    <w:rsid w:val="00A87D4A"/>
    <w:rsid w:val="00A90319"/>
    <w:rsid w:val="00A90580"/>
    <w:rsid w:val="00A909B8"/>
    <w:rsid w:val="00A90A7C"/>
    <w:rsid w:val="00A91AE4"/>
    <w:rsid w:val="00A91C2F"/>
    <w:rsid w:val="00A923FE"/>
    <w:rsid w:val="00A92F87"/>
    <w:rsid w:val="00A932A9"/>
    <w:rsid w:val="00A93A1B"/>
    <w:rsid w:val="00A94216"/>
    <w:rsid w:val="00A94283"/>
    <w:rsid w:val="00A95F53"/>
    <w:rsid w:val="00A96763"/>
    <w:rsid w:val="00A972EB"/>
    <w:rsid w:val="00AA0178"/>
    <w:rsid w:val="00AA1286"/>
    <w:rsid w:val="00AA262B"/>
    <w:rsid w:val="00AA288B"/>
    <w:rsid w:val="00AA2DAA"/>
    <w:rsid w:val="00AA2F34"/>
    <w:rsid w:val="00AA3643"/>
    <w:rsid w:val="00AA37A6"/>
    <w:rsid w:val="00AA4148"/>
    <w:rsid w:val="00AA4D38"/>
    <w:rsid w:val="00AA5675"/>
    <w:rsid w:val="00AA696F"/>
    <w:rsid w:val="00AA6FAE"/>
    <w:rsid w:val="00AA7891"/>
    <w:rsid w:val="00AB0AB5"/>
    <w:rsid w:val="00AB10EB"/>
    <w:rsid w:val="00AB1AF5"/>
    <w:rsid w:val="00AB1BD7"/>
    <w:rsid w:val="00AB1DA7"/>
    <w:rsid w:val="00AB1FCD"/>
    <w:rsid w:val="00AB2431"/>
    <w:rsid w:val="00AB2636"/>
    <w:rsid w:val="00AB2D1C"/>
    <w:rsid w:val="00AB3BC0"/>
    <w:rsid w:val="00AB4019"/>
    <w:rsid w:val="00AB495E"/>
    <w:rsid w:val="00AB4C46"/>
    <w:rsid w:val="00AB4CFB"/>
    <w:rsid w:val="00AB5449"/>
    <w:rsid w:val="00AB595A"/>
    <w:rsid w:val="00AB5D72"/>
    <w:rsid w:val="00AB61CB"/>
    <w:rsid w:val="00AB626D"/>
    <w:rsid w:val="00AB6349"/>
    <w:rsid w:val="00AB653B"/>
    <w:rsid w:val="00AB6C4A"/>
    <w:rsid w:val="00AB6C9D"/>
    <w:rsid w:val="00AB6FDB"/>
    <w:rsid w:val="00AB79DD"/>
    <w:rsid w:val="00AB7ADA"/>
    <w:rsid w:val="00AB7C70"/>
    <w:rsid w:val="00AB7C87"/>
    <w:rsid w:val="00AC0727"/>
    <w:rsid w:val="00AC098E"/>
    <w:rsid w:val="00AC0EB7"/>
    <w:rsid w:val="00AC11EB"/>
    <w:rsid w:val="00AC1B5F"/>
    <w:rsid w:val="00AC1B62"/>
    <w:rsid w:val="00AC2F11"/>
    <w:rsid w:val="00AC32EF"/>
    <w:rsid w:val="00AC3C5F"/>
    <w:rsid w:val="00AC4542"/>
    <w:rsid w:val="00AC5769"/>
    <w:rsid w:val="00AC59BC"/>
    <w:rsid w:val="00AC5B24"/>
    <w:rsid w:val="00AC7E34"/>
    <w:rsid w:val="00AC7F4C"/>
    <w:rsid w:val="00AD0082"/>
    <w:rsid w:val="00AD034F"/>
    <w:rsid w:val="00AD16C0"/>
    <w:rsid w:val="00AD1D32"/>
    <w:rsid w:val="00AD1D93"/>
    <w:rsid w:val="00AD20A4"/>
    <w:rsid w:val="00AD34C7"/>
    <w:rsid w:val="00AD3A7A"/>
    <w:rsid w:val="00AD3B12"/>
    <w:rsid w:val="00AD3BEB"/>
    <w:rsid w:val="00AD4367"/>
    <w:rsid w:val="00AD445E"/>
    <w:rsid w:val="00AD46DC"/>
    <w:rsid w:val="00AD4994"/>
    <w:rsid w:val="00AD4A6E"/>
    <w:rsid w:val="00AD4EDD"/>
    <w:rsid w:val="00AD5007"/>
    <w:rsid w:val="00AD510D"/>
    <w:rsid w:val="00AD5B1D"/>
    <w:rsid w:val="00AD5DD0"/>
    <w:rsid w:val="00AD5F77"/>
    <w:rsid w:val="00AD62C4"/>
    <w:rsid w:val="00AD694A"/>
    <w:rsid w:val="00AD7108"/>
    <w:rsid w:val="00AD73CF"/>
    <w:rsid w:val="00AD7780"/>
    <w:rsid w:val="00AE08BD"/>
    <w:rsid w:val="00AE0E45"/>
    <w:rsid w:val="00AE17BD"/>
    <w:rsid w:val="00AE26F2"/>
    <w:rsid w:val="00AE6521"/>
    <w:rsid w:val="00AE6707"/>
    <w:rsid w:val="00AE6A69"/>
    <w:rsid w:val="00AE718E"/>
    <w:rsid w:val="00AF0E5C"/>
    <w:rsid w:val="00AF1BBF"/>
    <w:rsid w:val="00AF2F3F"/>
    <w:rsid w:val="00AF3698"/>
    <w:rsid w:val="00AF379C"/>
    <w:rsid w:val="00AF3BC7"/>
    <w:rsid w:val="00AF3F94"/>
    <w:rsid w:val="00AF4156"/>
    <w:rsid w:val="00AF4EB3"/>
    <w:rsid w:val="00AF4EF6"/>
    <w:rsid w:val="00AF4F2B"/>
    <w:rsid w:val="00AF50FE"/>
    <w:rsid w:val="00AF52F1"/>
    <w:rsid w:val="00AF575F"/>
    <w:rsid w:val="00AF624E"/>
    <w:rsid w:val="00AF6258"/>
    <w:rsid w:val="00AF6E2C"/>
    <w:rsid w:val="00AF70E8"/>
    <w:rsid w:val="00AF71F4"/>
    <w:rsid w:val="00AF7722"/>
    <w:rsid w:val="00AF7B4D"/>
    <w:rsid w:val="00AF7F83"/>
    <w:rsid w:val="00B000DD"/>
    <w:rsid w:val="00B0086C"/>
    <w:rsid w:val="00B00CAF"/>
    <w:rsid w:val="00B01B60"/>
    <w:rsid w:val="00B02ACB"/>
    <w:rsid w:val="00B02EF7"/>
    <w:rsid w:val="00B03849"/>
    <w:rsid w:val="00B03F73"/>
    <w:rsid w:val="00B03FB4"/>
    <w:rsid w:val="00B04030"/>
    <w:rsid w:val="00B0526B"/>
    <w:rsid w:val="00B058FE"/>
    <w:rsid w:val="00B06784"/>
    <w:rsid w:val="00B070BC"/>
    <w:rsid w:val="00B071A7"/>
    <w:rsid w:val="00B074C0"/>
    <w:rsid w:val="00B07BD1"/>
    <w:rsid w:val="00B07DE4"/>
    <w:rsid w:val="00B1178E"/>
    <w:rsid w:val="00B11BD9"/>
    <w:rsid w:val="00B1227D"/>
    <w:rsid w:val="00B122A0"/>
    <w:rsid w:val="00B1258F"/>
    <w:rsid w:val="00B12D86"/>
    <w:rsid w:val="00B13E22"/>
    <w:rsid w:val="00B14A5C"/>
    <w:rsid w:val="00B15592"/>
    <w:rsid w:val="00B1605A"/>
    <w:rsid w:val="00B162ED"/>
    <w:rsid w:val="00B167A0"/>
    <w:rsid w:val="00B16EF4"/>
    <w:rsid w:val="00B170F6"/>
    <w:rsid w:val="00B17595"/>
    <w:rsid w:val="00B17CDC"/>
    <w:rsid w:val="00B20447"/>
    <w:rsid w:val="00B20ED0"/>
    <w:rsid w:val="00B2148C"/>
    <w:rsid w:val="00B2206D"/>
    <w:rsid w:val="00B2225D"/>
    <w:rsid w:val="00B2330B"/>
    <w:rsid w:val="00B23432"/>
    <w:rsid w:val="00B23CB7"/>
    <w:rsid w:val="00B242CF"/>
    <w:rsid w:val="00B24E54"/>
    <w:rsid w:val="00B25D02"/>
    <w:rsid w:val="00B26AB2"/>
    <w:rsid w:val="00B26D1B"/>
    <w:rsid w:val="00B27487"/>
    <w:rsid w:val="00B27CCA"/>
    <w:rsid w:val="00B34234"/>
    <w:rsid w:val="00B3440D"/>
    <w:rsid w:val="00B34902"/>
    <w:rsid w:val="00B34E23"/>
    <w:rsid w:val="00B35CF4"/>
    <w:rsid w:val="00B362D1"/>
    <w:rsid w:val="00B36EDB"/>
    <w:rsid w:val="00B36F41"/>
    <w:rsid w:val="00B37B2C"/>
    <w:rsid w:val="00B40C5B"/>
    <w:rsid w:val="00B41A9A"/>
    <w:rsid w:val="00B41D3D"/>
    <w:rsid w:val="00B42409"/>
    <w:rsid w:val="00B43745"/>
    <w:rsid w:val="00B43BD8"/>
    <w:rsid w:val="00B43D86"/>
    <w:rsid w:val="00B43FD1"/>
    <w:rsid w:val="00B44013"/>
    <w:rsid w:val="00B44082"/>
    <w:rsid w:val="00B44532"/>
    <w:rsid w:val="00B44609"/>
    <w:rsid w:val="00B44EC0"/>
    <w:rsid w:val="00B451BF"/>
    <w:rsid w:val="00B4680E"/>
    <w:rsid w:val="00B4684D"/>
    <w:rsid w:val="00B47961"/>
    <w:rsid w:val="00B47E0A"/>
    <w:rsid w:val="00B50041"/>
    <w:rsid w:val="00B5194B"/>
    <w:rsid w:val="00B51B54"/>
    <w:rsid w:val="00B526DE"/>
    <w:rsid w:val="00B52FDA"/>
    <w:rsid w:val="00B5307F"/>
    <w:rsid w:val="00B54A28"/>
    <w:rsid w:val="00B5520B"/>
    <w:rsid w:val="00B56372"/>
    <w:rsid w:val="00B5649C"/>
    <w:rsid w:val="00B564AE"/>
    <w:rsid w:val="00B5695C"/>
    <w:rsid w:val="00B56A08"/>
    <w:rsid w:val="00B56EFD"/>
    <w:rsid w:val="00B57088"/>
    <w:rsid w:val="00B5713E"/>
    <w:rsid w:val="00B60D8D"/>
    <w:rsid w:val="00B60EFF"/>
    <w:rsid w:val="00B61B67"/>
    <w:rsid w:val="00B63028"/>
    <w:rsid w:val="00B633CC"/>
    <w:rsid w:val="00B638D7"/>
    <w:rsid w:val="00B63C53"/>
    <w:rsid w:val="00B6426A"/>
    <w:rsid w:val="00B65B64"/>
    <w:rsid w:val="00B66BFC"/>
    <w:rsid w:val="00B67306"/>
    <w:rsid w:val="00B67436"/>
    <w:rsid w:val="00B70C69"/>
    <w:rsid w:val="00B71CD6"/>
    <w:rsid w:val="00B72248"/>
    <w:rsid w:val="00B72763"/>
    <w:rsid w:val="00B72DCB"/>
    <w:rsid w:val="00B73874"/>
    <w:rsid w:val="00B73E6A"/>
    <w:rsid w:val="00B74871"/>
    <w:rsid w:val="00B74986"/>
    <w:rsid w:val="00B74C2F"/>
    <w:rsid w:val="00B74C35"/>
    <w:rsid w:val="00B759B2"/>
    <w:rsid w:val="00B75AB6"/>
    <w:rsid w:val="00B75B75"/>
    <w:rsid w:val="00B760E1"/>
    <w:rsid w:val="00B769E9"/>
    <w:rsid w:val="00B77112"/>
    <w:rsid w:val="00B77497"/>
    <w:rsid w:val="00B800BE"/>
    <w:rsid w:val="00B80280"/>
    <w:rsid w:val="00B803D4"/>
    <w:rsid w:val="00B806D9"/>
    <w:rsid w:val="00B809EF"/>
    <w:rsid w:val="00B80CD6"/>
    <w:rsid w:val="00B81FAA"/>
    <w:rsid w:val="00B822D3"/>
    <w:rsid w:val="00B82732"/>
    <w:rsid w:val="00B82B69"/>
    <w:rsid w:val="00B82FC9"/>
    <w:rsid w:val="00B844AC"/>
    <w:rsid w:val="00B847F5"/>
    <w:rsid w:val="00B8486E"/>
    <w:rsid w:val="00B84D23"/>
    <w:rsid w:val="00B84FE1"/>
    <w:rsid w:val="00B853AB"/>
    <w:rsid w:val="00B85D9A"/>
    <w:rsid w:val="00B85FE5"/>
    <w:rsid w:val="00B8646D"/>
    <w:rsid w:val="00B86492"/>
    <w:rsid w:val="00B87DF1"/>
    <w:rsid w:val="00B87E69"/>
    <w:rsid w:val="00B901BA"/>
    <w:rsid w:val="00B914C4"/>
    <w:rsid w:val="00B91695"/>
    <w:rsid w:val="00B9172B"/>
    <w:rsid w:val="00B91914"/>
    <w:rsid w:val="00B927D3"/>
    <w:rsid w:val="00B930F4"/>
    <w:rsid w:val="00B9396F"/>
    <w:rsid w:val="00B9577A"/>
    <w:rsid w:val="00B95790"/>
    <w:rsid w:val="00B95A44"/>
    <w:rsid w:val="00B95ABB"/>
    <w:rsid w:val="00B96273"/>
    <w:rsid w:val="00B96382"/>
    <w:rsid w:val="00B963ED"/>
    <w:rsid w:val="00B9669E"/>
    <w:rsid w:val="00B96E17"/>
    <w:rsid w:val="00B97AA4"/>
    <w:rsid w:val="00B97B2F"/>
    <w:rsid w:val="00B97C78"/>
    <w:rsid w:val="00B97E94"/>
    <w:rsid w:val="00BA01D3"/>
    <w:rsid w:val="00BA058F"/>
    <w:rsid w:val="00BA0A6D"/>
    <w:rsid w:val="00BA0B76"/>
    <w:rsid w:val="00BA14BC"/>
    <w:rsid w:val="00BA1A5D"/>
    <w:rsid w:val="00BA1BB4"/>
    <w:rsid w:val="00BA1C25"/>
    <w:rsid w:val="00BA3B9A"/>
    <w:rsid w:val="00BA3BA7"/>
    <w:rsid w:val="00BA4129"/>
    <w:rsid w:val="00BA50A1"/>
    <w:rsid w:val="00BA547D"/>
    <w:rsid w:val="00BA5C52"/>
    <w:rsid w:val="00BA68BD"/>
    <w:rsid w:val="00BA6C0B"/>
    <w:rsid w:val="00BA6D94"/>
    <w:rsid w:val="00BB017C"/>
    <w:rsid w:val="00BB05D7"/>
    <w:rsid w:val="00BB0A1C"/>
    <w:rsid w:val="00BB0C70"/>
    <w:rsid w:val="00BB158F"/>
    <w:rsid w:val="00BB2438"/>
    <w:rsid w:val="00BB31F6"/>
    <w:rsid w:val="00BB324C"/>
    <w:rsid w:val="00BB36FB"/>
    <w:rsid w:val="00BB3BCB"/>
    <w:rsid w:val="00BB535D"/>
    <w:rsid w:val="00BB566A"/>
    <w:rsid w:val="00BB5DAD"/>
    <w:rsid w:val="00BB6132"/>
    <w:rsid w:val="00BB62B7"/>
    <w:rsid w:val="00BB744B"/>
    <w:rsid w:val="00BB7A48"/>
    <w:rsid w:val="00BB7EA9"/>
    <w:rsid w:val="00BC0762"/>
    <w:rsid w:val="00BC089B"/>
    <w:rsid w:val="00BC1684"/>
    <w:rsid w:val="00BC1BF5"/>
    <w:rsid w:val="00BC1CCE"/>
    <w:rsid w:val="00BC31ED"/>
    <w:rsid w:val="00BC38D6"/>
    <w:rsid w:val="00BC4844"/>
    <w:rsid w:val="00BC5F62"/>
    <w:rsid w:val="00BC61C0"/>
    <w:rsid w:val="00BC638D"/>
    <w:rsid w:val="00BC68DF"/>
    <w:rsid w:val="00BC6A1B"/>
    <w:rsid w:val="00BC7789"/>
    <w:rsid w:val="00BC7802"/>
    <w:rsid w:val="00BC7BCC"/>
    <w:rsid w:val="00BD0239"/>
    <w:rsid w:val="00BD087B"/>
    <w:rsid w:val="00BD0DF9"/>
    <w:rsid w:val="00BD15E6"/>
    <w:rsid w:val="00BD1827"/>
    <w:rsid w:val="00BD7AE7"/>
    <w:rsid w:val="00BD7D98"/>
    <w:rsid w:val="00BE05B5"/>
    <w:rsid w:val="00BE0CB7"/>
    <w:rsid w:val="00BE1AF9"/>
    <w:rsid w:val="00BE1BBC"/>
    <w:rsid w:val="00BE1E6F"/>
    <w:rsid w:val="00BE2283"/>
    <w:rsid w:val="00BE2903"/>
    <w:rsid w:val="00BE2F76"/>
    <w:rsid w:val="00BE3157"/>
    <w:rsid w:val="00BE433B"/>
    <w:rsid w:val="00BE5200"/>
    <w:rsid w:val="00BE6913"/>
    <w:rsid w:val="00BE71A3"/>
    <w:rsid w:val="00BE783C"/>
    <w:rsid w:val="00BE787F"/>
    <w:rsid w:val="00BE79EA"/>
    <w:rsid w:val="00BE7C28"/>
    <w:rsid w:val="00BE7CF8"/>
    <w:rsid w:val="00BE7D0E"/>
    <w:rsid w:val="00BE7FA6"/>
    <w:rsid w:val="00BF0467"/>
    <w:rsid w:val="00BF0EDA"/>
    <w:rsid w:val="00BF109A"/>
    <w:rsid w:val="00BF11FB"/>
    <w:rsid w:val="00BF246F"/>
    <w:rsid w:val="00BF3AB4"/>
    <w:rsid w:val="00BF3F12"/>
    <w:rsid w:val="00BF4981"/>
    <w:rsid w:val="00BF4C28"/>
    <w:rsid w:val="00C01896"/>
    <w:rsid w:val="00C01D4D"/>
    <w:rsid w:val="00C0462A"/>
    <w:rsid w:val="00C04B2C"/>
    <w:rsid w:val="00C05CDC"/>
    <w:rsid w:val="00C06230"/>
    <w:rsid w:val="00C062A0"/>
    <w:rsid w:val="00C072B8"/>
    <w:rsid w:val="00C075EC"/>
    <w:rsid w:val="00C07722"/>
    <w:rsid w:val="00C119D7"/>
    <w:rsid w:val="00C120BA"/>
    <w:rsid w:val="00C121D7"/>
    <w:rsid w:val="00C132AB"/>
    <w:rsid w:val="00C138B9"/>
    <w:rsid w:val="00C13C5A"/>
    <w:rsid w:val="00C1443C"/>
    <w:rsid w:val="00C14690"/>
    <w:rsid w:val="00C1473D"/>
    <w:rsid w:val="00C15017"/>
    <w:rsid w:val="00C156E0"/>
    <w:rsid w:val="00C15949"/>
    <w:rsid w:val="00C15DDA"/>
    <w:rsid w:val="00C16010"/>
    <w:rsid w:val="00C17152"/>
    <w:rsid w:val="00C17743"/>
    <w:rsid w:val="00C1781B"/>
    <w:rsid w:val="00C17A78"/>
    <w:rsid w:val="00C2014E"/>
    <w:rsid w:val="00C201C9"/>
    <w:rsid w:val="00C21200"/>
    <w:rsid w:val="00C21D6C"/>
    <w:rsid w:val="00C22177"/>
    <w:rsid w:val="00C224CF"/>
    <w:rsid w:val="00C24113"/>
    <w:rsid w:val="00C24574"/>
    <w:rsid w:val="00C2518C"/>
    <w:rsid w:val="00C254D4"/>
    <w:rsid w:val="00C256C3"/>
    <w:rsid w:val="00C25879"/>
    <w:rsid w:val="00C26631"/>
    <w:rsid w:val="00C266B8"/>
    <w:rsid w:val="00C268EF"/>
    <w:rsid w:val="00C27677"/>
    <w:rsid w:val="00C27E05"/>
    <w:rsid w:val="00C312E7"/>
    <w:rsid w:val="00C3253E"/>
    <w:rsid w:val="00C32612"/>
    <w:rsid w:val="00C32BA1"/>
    <w:rsid w:val="00C33148"/>
    <w:rsid w:val="00C34DEE"/>
    <w:rsid w:val="00C34F66"/>
    <w:rsid w:val="00C352C9"/>
    <w:rsid w:val="00C35F5B"/>
    <w:rsid w:val="00C36495"/>
    <w:rsid w:val="00C3677F"/>
    <w:rsid w:val="00C36E48"/>
    <w:rsid w:val="00C37014"/>
    <w:rsid w:val="00C370F8"/>
    <w:rsid w:val="00C3771C"/>
    <w:rsid w:val="00C40AAF"/>
    <w:rsid w:val="00C414C7"/>
    <w:rsid w:val="00C42169"/>
    <w:rsid w:val="00C4222F"/>
    <w:rsid w:val="00C42737"/>
    <w:rsid w:val="00C4341D"/>
    <w:rsid w:val="00C43BBA"/>
    <w:rsid w:val="00C44292"/>
    <w:rsid w:val="00C44903"/>
    <w:rsid w:val="00C44C29"/>
    <w:rsid w:val="00C44E29"/>
    <w:rsid w:val="00C452F3"/>
    <w:rsid w:val="00C4544F"/>
    <w:rsid w:val="00C45750"/>
    <w:rsid w:val="00C45D25"/>
    <w:rsid w:val="00C472CC"/>
    <w:rsid w:val="00C47325"/>
    <w:rsid w:val="00C51348"/>
    <w:rsid w:val="00C51BB2"/>
    <w:rsid w:val="00C51CC6"/>
    <w:rsid w:val="00C51E2B"/>
    <w:rsid w:val="00C51EA2"/>
    <w:rsid w:val="00C5311C"/>
    <w:rsid w:val="00C535F2"/>
    <w:rsid w:val="00C542DB"/>
    <w:rsid w:val="00C54CD4"/>
    <w:rsid w:val="00C54CD7"/>
    <w:rsid w:val="00C56D91"/>
    <w:rsid w:val="00C573B2"/>
    <w:rsid w:val="00C57602"/>
    <w:rsid w:val="00C57D91"/>
    <w:rsid w:val="00C604B1"/>
    <w:rsid w:val="00C60FAB"/>
    <w:rsid w:val="00C61165"/>
    <w:rsid w:val="00C61A47"/>
    <w:rsid w:val="00C630D8"/>
    <w:rsid w:val="00C640AD"/>
    <w:rsid w:val="00C65A7F"/>
    <w:rsid w:val="00C66D42"/>
    <w:rsid w:val="00C671BC"/>
    <w:rsid w:val="00C67967"/>
    <w:rsid w:val="00C679AA"/>
    <w:rsid w:val="00C70602"/>
    <w:rsid w:val="00C70BC9"/>
    <w:rsid w:val="00C716BA"/>
    <w:rsid w:val="00C72172"/>
    <w:rsid w:val="00C72762"/>
    <w:rsid w:val="00C72944"/>
    <w:rsid w:val="00C73B49"/>
    <w:rsid w:val="00C74EFB"/>
    <w:rsid w:val="00C75E7E"/>
    <w:rsid w:val="00C77268"/>
    <w:rsid w:val="00C77B30"/>
    <w:rsid w:val="00C77FF7"/>
    <w:rsid w:val="00C80424"/>
    <w:rsid w:val="00C80F49"/>
    <w:rsid w:val="00C81474"/>
    <w:rsid w:val="00C81881"/>
    <w:rsid w:val="00C834B4"/>
    <w:rsid w:val="00C834D4"/>
    <w:rsid w:val="00C843E3"/>
    <w:rsid w:val="00C85417"/>
    <w:rsid w:val="00C85A28"/>
    <w:rsid w:val="00C8654C"/>
    <w:rsid w:val="00C9054A"/>
    <w:rsid w:val="00C91267"/>
    <w:rsid w:val="00C918E5"/>
    <w:rsid w:val="00C919E1"/>
    <w:rsid w:val="00C9215A"/>
    <w:rsid w:val="00C92460"/>
    <w:rsid w:val="00C926FA"/>
    <w:rsid w:val="00C9275A"/>
    <w:rsid w:val="00C92D23"/>
    <w:rsid w:val="00C92D42"/>
    <w:rsid w:val="00C9326D"/>
    <w:rsid w:val="00C93EB3"/>
    <w:rsid w:val="00C949DE"/>
    <w:rsid w:val="00C94D71"/>
    <w:rsid w:val="00C953F0"/>
    <w:rsid w:val="00C9662C"/>
    <w:rsid w:val="00C96714"/>
    <w:rsid w:val="00CA04F2"/>
    <w:rsid w:val="00CA071F"/>
    <w:rsid w:val="00CA0A93"/>
    <w:rsid w:val="00CA0B95"/>
    <w:rsid w:val="00CA1B27"/>
    <w:rsid w:val="00CA1C07"/>
    <w:rsid w:val="00CA1D47"/>
    <w:rsid w:val="00CA2107"/>
    <w:rsid w:val="00CA214E"/>
    <w:rsid w:val="00CA2537"/>
    <w:rsid w:val="00CA2AF5"/>
    <w:rsid w:val="00CA3549"/>
    <w:rsid w:val="00CA4953"/>
    <w:rsid w:val="00CA4AC7"/>
    <w:rsid w:val="00CA518B"/>
    <w:rsid w:val="00CA57A6"/>
    <w:rsid w:val="00CA5DB3"/>
    <w:rsid w:val="00CA6C38"/>
    <w:rsid w:val="00CA6ECC"/>
    <w:rsid w:val="00CA7D7E"/>
    <w:rsid w:val="00CB050E"/>
    <w:rsid w:val="00CB0E1F"/>
    <w:rsid w:val="00CB0EA2"/>
    <w:rsid w:val="00CB1067"/>
    <w:rsid w:val="00CB18A3"/>
    <w:rsid w:val="00CB20A0"/>
    <w:rsid w:val="00CB2C7F"/>
    <w:rsid w:val="00CB3365"/>
    <w:rsid w:val="00CB4806"/>
    <w:rsid w:val="00CB7659"/>
    <w:rsid w:val="00CC074C"/>
    <w:rsid w:val="00CC091E"/>
    <w:rsid w:val="00CC1654"/>
    <w:rsid w:val="00CC19E5"/>
    <w:rsid w:val="00CC26B5"/>
    <w:rsid w:val="00CC28AA"/>
    <w:rsid w:val="00CC5009"/>
    <w:rsid w:val="00CC55BE"/>
    <w:rsid w:val="00CC593D"/>
    <w:rsid w:val="00CC5EFE"/>
    <w:rsid w:val="00CC61F7"/>
    <w:rsid w:val="00CC6C5A"/>
    <w:rsid w:val="00CD2D69"/>
    <w:rsid w:val="00CD36A3"/>
    <w:rsid w:val="00CD3810"/>
    <w:rsid w:val="00CD3A7D"/>
    <w:rsid w:val="00CD402E"/>
    <w:rsid w:val="00CD4334"/>
    <w:rsid w:val="00CD4982"/>
    <w:rsid w:val="00CD5207"/>
    <w:rsid w:val="00CD5D03"/>
    <w:rsid w:val="00CD5D92"/>
    <w:rsid w:val="00CD5E92"/>
    <w:rsid w:val="00CD5EE8"/>
    <w:rsid w:val="00CD61B8"/>
    <w:rsid w:val="00CD6F12"/>
    <w:rsid w:val="00CD7E0A"/>
    <w:rsid w:val="00CE063E"/>
    <w:rsid w:val="00CE0771"/>
    <w:rsid w:val="00CE093F"/>
    <w:rsid w:val="00CE11EA"/>
    <w:rsid w:val="00CE1284"/>
    <w:rsid w:val="00CE2260"/>
    <w:rsid w:val="00CE370A"/>
    <w:rsid w:val="00CE4259"/>
    <w:rsid w:val="00CE447D"/>
    <w:rsid w:val="00CE46B0"/>
    <w:rsid w:val="00CE5659"/>
    <w:rsid w:val="00CE581C"/>
    <w:rsid w:val="00CE5B51"/>
    <w:rsid w:val="00CE5D9E"/>
    <w:rsid w:val="00CE60E6"/>
    <w:rsid w:val="00CE76FA"/>
    <w:rsid w:val="00CE7A87"/>
    <w:rsid w:val="00CF12C6"/>
    <w:rsid w:val="00CF22E2"/>
    <w:rsid w:val="00CF24D8"/>
    <w:rsid w:val="00CF2BB7"/>
    <w:rsid w:val="00CF43C0"/>
    <w:rsid w:val="00CF47A6"/>
    <w:rsid w:val="00CF47EE"/>
    <w:rsid w:val="00CF5E16"/>
    <w:rsid w:val="00CF65B4"/>
    <w:rsid w:val="00CF6D42"/>
    <w:rsid w:val="00CF6D76"/>
    <w:rsid w:val="00CF7DCE"/>
    <w:rsid w:val="00CF7E7B"/>
    <w:rsid w:val="00D004FD"/>
    <w:rsid w:val="00D007CD"/>
    <w:rsid w:val="00D01455"/>
    <w:rsid w:val="00D01593"/>
    <w:rsid w:val="00D019B1"/>
    <w:rsid w:val="00D03108"/>
    <w:rsid w:val="00D03546"/>
    <w:rsid w:val="00D05460"/>
    <w:rsid w:val="00D05807"/>
    <w:rsid w:val="00D05B80"/>
    <w:rsid w:val="00D06E43"/>
    <w:rsid w:val="00D10707"/>
    <w:rsid w:val="00D124DF"/>
    <w:rsid w:val="00D127B6"/>
    <w:rsid w:val="00D12CDC"/>
    <w:rsid w:val="00D12F0A"/>
    <w:rsid w:val="00D13788"/>
    <w:rsid w:val="00D13A1C"/>
    <w:rsid w:val="00D13FE3"/>
    <w:rsid w:val="00D14485"/>
    <w:rsid w:val="00D14B53"/>
    <w:rsid w:val="00D15CCF"/>
    <w:rsid w:val="00D20B47"/>
    <w:rsid w:val="00D22728"/>
    <w:rsid w:val="00D22931"/>
    <w:rsid w:val="00D237CB"/>
    <w:rsid w:val="00D239A4"/>
    <w:rsid w:val="00D23AB8"/>
    <w:rsid w:val="00D23FB2"/>
    <w:rsid w:val="00D23FBB"/>
    <w:rsid w:val="00D24317"/>
    <w:rsid w:val="00D253CF"/>
    <w:rsid w:val="00D25568"/>
    <w:rsid w:val="00D256F9"/>
    <w:rsid w:val="00D25ACE"/>
    <w:rsid w:val="00D27CEA"/>
    <w:rsid w:val="00D30039"/>
    <w:rsid w:val="00D306F3"/>
    <w:rsid w:val="00D313D3"/>
    <w:rsid w:val="00D31704"/>
    <w:rsid w:val="00D32D19"/>
    <w:rsid w:val="00D331C9"/>
    <w:rsid w:val="00D332D8"/>
    <w:rsid w:val="00D3335D"/>
    <w:rsid w:val="00D3374B"/>
    <w:rsid w:val="00D33BF4"/>
    <w:rsid w:val="00D34002"/>
    <w:rsid w:val="00D35028"/>
    <w:rsid w:val="00D3525A"/>
    <w:rsid w:val="00D357A0"/>
    <w:rsid w:val="00D3797A"/>
    <w:rsid w:val="00D37D08"/>
    <w:rsid w:val="00D37F23"/>
    <w:rsid w:val="00D4093E"/>
    <w:rsid w:val="00D4098D"/>
    <w:rsid w:val="00D41544"/>
    <w:rsid w:val="00D41FBB"/>
    <w:rsid w:val="00D44459"/>
    <w:rsid w:val="00D455DE"/>
    <w:rsid w:val="00D45883"/>
    <w:rsid w:val="00D461EB"/>
    <w:rsid w:val="00D463A4"/>
    <w:rsid w:val="00D46525"/>
    <w:rsid w:val="00D469EB"/>
    <w:rsid w:val="00D46F91"/>
    <w:rsid w:val="00D479A3"/>
    <w:rsid w:val="00D47ACA"/>
    <w:rsid w:val="00D501C8"/>
    <w:rsid w:val="00D507C2"/>
    <w:rsid w:val="00D51681"/>
    <w:rsid w:val="00D51B1B"/>
    <w:rsid w:val="00D5273A"/>
    <w:rsid w:val="00D52DFB"/>
    <w:rsid w:val="00D533B9"/>
    <w:rsid w:val="00D5396E"/>
    <w:rsid w:val="00D53CE3"/>
    <w:rsid w:val="00D557AE"/>
    <w:rsid w:val="00D55A85"/>
    <w:rsid w:val="00D57964"/>
    <w:rsid w:val="00D60325"/>
    <w:rsid w:val="00D60987"/>
    <w:rsid w:val="00D60CC1"/>
    <w:rsid w:val="00D6144C"/>
    <w:rsid w:val="00D619B2"/>
    <w:rsid w:val="00D61B69"/>
    <w:rsid w:val="00D61BF6"/>
    <w:rsid w:val="00D62D7E"/>
    <w:rsid w:val="00D631C0"/>
    <w:rsid w:val="00D634BC"/>
    <w:rsid w:val="00D63728"/>
    <w:rsid w:val="00D63A7B"/>
    <w:rsid w:val="00D63A8F"/>
    <w:rsid w:val="00D64FD0"/>
    <w:rsid w:val="00D65566"/>
    <w:rsid w:val="00D65960"/>
    <w:rsid w:val="00D66444"/>
    <w:rsid w:val="00D70DB5"/>
    <w:rsid w:val="00D72317"/>
    <w:rsid w:val="00D728F6"/>
    <w:rsid w:val="00D73E12"/>
    <w:rsid w:val="00D73ED8"/>
    <w:rsid w:val="00D744AC"/>
    <w:rsid w:val="00D74941"/>
    <w:rsid w:val="00D75333"/>
    <w:rsid w:val="00D758DD"/>
    <w:rsid w:val="00D75CC9"/>
    <w:rsid w:val="00D76A18"/>
    <w:rsid w:val="00D76B42"/>
    <w:rsid w:val="00D76CF7"/>
    <w:rsid w:val="00D7763E"/>
    <w:rsid w:val="00D77F85"/>
    <w:rsid w:val="00D80448"/>
    <w:rsid w:val="00D80771"/>
    <w:rsid w:val="00D80BB7"/>
    <w:rsid w:val="00D816B4"/>
    <w:rsid w:val="00D81781"/>
    <w:rsid w:val="00D81D14"/>
    <w:rsid w:val="00D826E6"/>
    <w:rsid w:val="00D82776"/>
    <w:rsid w:val="00D82FEC"/>
    <w:rsid w:val="00D832B8"/>
    <w:rsid w:val="00D83526"/>
    <w:rsid w:val="00D84A25"/>
    <w:rsid w:val="00D85C33"/>
    <w:rsid w:val="00D86F72"/>
    <w:rsid w:val="00D870DD"/>
    <w:rsid w:val="00D8737A"/>
    <w:rsid w:val="00D87772"/>
    <w:rsid w:val="00D91699"/>
    <w:rsid w:val="00D91DC7"/>
    <w:rsid w:val="00D947BB"/>
    <w:rsid w:val="00D947C1"/>
    <w:rsid w:val="00D94C68"/>
    <w:rsid w:val="00D95443"/>
    <w:rsid w:val="00D95866"/>
    <w:rsid w:val="00D95DC0"/>
    <w:rsid w:val="00D9655C"/>
    <w:rsid w:val="00D96FE4"/>
    <w:rsid w:val="00D97209"/>
    <w:rsid w:val="00D972C7"/>
    <w:rsid w:val="00D97FD9"/>
    <w:rsid w:val="00DA0306"/>
    <w:rsid w:val="00DA1647"/>
    <w:rsid w:val="00DA2C2A"/>
    <w:rsid w:val="00DA304B"/>
    <w:rsid w:val="00DA310D"/>
    <w:rsid w:val="00DA3487"/>
    <w:rsid w:val="00DA377A"/>
    <w:rsid w:val="00DA3A00"/>
    <w:rsid w:val="00DA411A"/>
    <w:rsid w:val="00DA6157"/>
    <w:rsid w:val="00DA65D5"/>
    <w:rsid w:val="00DA7491"/>
    <w:rsid w:val="00DA7A4A"/>
    <w:rsid w:val="00DB0D7A"/>
    <w:rsid w:val="00DB15D3"/>
    <w:rsid w:val="00DB1BAF"/>
    <w:rsid w:val="00DB315A"/>
    <w:rsid w:val="00DB3172"/>
    <w:rsid w:val="00DB4032"/>
    <w:rsid w:val="00DB44E9"/>
    <w:rsid w:val="00DB46AE"/>
    <w:rsid w:val="00DB483F"/>
    <w:rsid w:val="00DB5255"/>
    <w:rsid w:val="00DB53BE"/>
    <w:rsid w:val="00DB5F40"/>
    <w:rsid w:val="00DB70E0"/>
    <w:rsid w:val="00DB7CB4"/>
    <w:rsid w:val="00DC108E"/>
    <w:rsid w:val="00DC14B3"/>
    <w:rsid w:val="00DC1C11"/>
    <w:rsid w:val="00DC1E6D"/>
    <w:rsid w:val="00DC24AB"/>
    <w:rsid w:val="00DC25A4"/>
    <w:rsid w:val="00DC2EF4"/>
    <w:rsid w:val="00DC2F22"/>
    <w:rsid w:val="00DC328C"/>
    <w:rsid w:val="00DC3B62"/>
    <w:rsid w:val="00DC57B2"/>
    <w:rsid w:val="00DC6F17"/>
    <w:rsid w:val="00DC77B2"/>
    <w:rsid w:val="00DD09DA"/>
    <w:rsid w:val="00DD0EA6"/>
    <w:rsid w:val="00DD2D42"/>
    <w:rsid w:val="00DD3A6E"/>
    <w:rsid w:val="00DD4E60"/>
    <w:rsid w:val="00DD5787"/>
    <w:rsid w:val="00DD593B"/>
    <w:rsid w:val="00DD74AD"/>
    <w:rsid w:val="00DD7705"/>
    <w:rsid w:val="00DE0724"/>
    <w:rsid w:val="00DE13F9"/>
    <w:rsid w:val="00DE1456"/>
    <w:rsid w:val="00DE1C7C"/>
    <w:rsid w:val="00DE23BF"/>
    <w:rsid w:val="00DE258F"/>
    <w:rsid w:val="00DE27EA"/>
    <w:rsid w:val="00DE32F9"/>
    <w:rsid w:val="00DE3D3E"/>
    <w:rsid w:val="00DE425F"/>
    <w:rsid w:val="00DE491D"/>
    <w:rsid w:val="00DE4A57"/>
    <w:rsid w:val="00DE5298"/>
    <w:rsid w:val="00DE52BB"/>
    <w:rsid w:val="00DE6448"/>
    <w:rsid w:val="00DE67A6"/>
    <w:rsid w:val="00DE6E3C"/>
    <w:rsid w:val="00DE7762"/>
    <w:rsid w:val="00DE7E6B"/>
    <w:rsid w:val="00DF0074"/>
    <w:rsid w:val="00DF024F"/>
    <w:rsid w:val="00DF04C9"/>
    <w:rsid w:val="00DF068C"/>
    <w:rsid w:val="00DF075D"/>
    <w:rsid w:val="00DF095D"/>
    <w:rsid w:val="00DF0B17"/>
    <w:rsid w:val="00DF2D61"/>
    <w:rsid w:val="00DF405D"/>
    <w:rsid w:val="00DF5DC6"/>
    <w:rsid w:val="00DF6576"/>
    <w:rsid w:val="00DF6ECE"/>
    <w:rsid w:val="00E001EA"/>
    <w:rsid w:val="00E00AD6"/>
    <w:rsid w:val="00E00F69"/>
    <w:rsid w:val="00E014BD"/>
    <w:rsid w:val="00E0191E"/>
    <w:rsid w:val="00E01BB7"/>
    <w:rsid w:val="00E01E82"/>
    <w:rsid w:val="00E026C4"/>
    <w:rsid w:val="00E030F4"/>
    <w:rsid w:val="00E031A9"/>
    <w:rsid w:val="00E037AF"/>
    <w:rsid w:val="00E044DF"/>
    <w:rsid w:val="00E04D50"/>
    <w:rsid w:val="00E05A6A"/>
    <w:rsid w:val="00E0644B"/>
    <w:rsid w:val="00E065CD"/>
    <w:rsid w:val="00E06CBB"/>
    <w:rsid w:val="00E07353"/>
    <w:rsid w:val="00E07432"/>
    <w:rsid w:val="00E07909"/>
    <w:rsid w:val="00E10A45"/>
    <w:rsid w:val="00E10B87"/>
    <w:rsid w:val="00E10C9C"/>
    <w:rsid w:val="00E11340"/>
    <w:rsid w:val="00E113A9"/>
    <w:rsid w:val="00E11B18"/>
    <w:rsid w:val="00E11BE3"/>
    <w:rsid w:val="00E1243C"/>
    <w:rsid w:val="00E1249A"/>
    <w:rsid w:val="00E13B4B"/>
    <w:rsid w:val="00E13DA1"/>
    <w:rsid w:val="00E142A7"/>
    <w:rsid w:val="00E142AF"/>
    <w:rsid w:val="00E1525A"/>
    <w:rsid w:val="00E17829"/>
    <w:rsid w:val="00E206A8"/>
    <w:rsid w:val="00E21556"/>
    <w:rsid w:val="00E21E2B"/>
    <w:rsid w:val="00E22055"/>
    <w:rsid w:val="00E22371"/>
    <w:rsid w:val="00E24195"/>
    <w:rsid w:val="00E24714"/>
    <w:rsid w:val="00E247D2"/>
    <w:rsid w:val="00E24AA5"/>
    <w:rsid w:val="00E24FC1"/>
    <w:rsid w:val="00E258A8"/>
    <w:rsid w:val="00E25CF6"/>
    <w:rsid w:val="00E30AF2"/>
    <w:rsid w:val="00E317A9"/>
    <w:rsid w:val="00E32013"/>
    <w:rsid w:val="00E32874"/>
    <w:rsid w:val="00E34AAF"/>
    <w:rsid w:val="00E35147"/>
    <w:rsid w:val="00E365BA"/>
    <w:rsid w:val="00E3671A"/>
    <w:rsid w:val="00E36FF5"/>
    <w:rsid w:val="00E374E8"/>
    <w:rsid w:val="00E376B4"/>
    <w:rsid w:val="00E37BFD"/>
    <w:rsid w:val="00E40399"/>
    <w:rsid w:val="00E40A6B"/>
    <w:rsid w:val="00E414D5"/>
    <w:rsid w:val="00E41C21"/>
    <w:rsid w:val="00E41D8B"/>
    <w:rsid w:val="00E426D8"/>
    <w:rsid w:val="00E43B4F"/>
    <w:rsid w:val="00E43C00"/>
    <w:rsid w:val="00E4473E"/>
    <w:rsid w:val="00E44A68"/>
    <w:rsid w:val="00E44CE7"/>
    <w:rsid w:val="00E45953"/>
    <w:rsid w:val="00E45DF6"/>
    <w:rsid w:val="00E4601D"/>
    <w:rsid w:val="00E464B6"/>
    <w:rsid w:val="00E46812"/>
    <w:rsid w:val="00E4714B"/>
    <w:rsid w:val="00E474D2"/>
    <w:rsid w:val="00E50179"/>
    <w:rsid w:val="00E5078B"/>
    <w:rsid w:val="00E50D55"/>
    <w:rsid w:val="00E5141B"/>
    <w:rsid w:val="00E526DE"/>
    <w:rsid w:val="00E52C3F"/>
    <w:rsid w:val="00E532D6"/>
    <w:rsid w:val="00E54181"/>
    <w:rsid w:val="00E54721"/>
    <w:rsid w:val="00E54803"/>
    <w:rsid w:val="00E55900"/>
    <w:rsid w:val="00E567B8"/>
    <w:rsid w:val="00E5682A"/>
    <w:rsid w:val="00E56E91"/>
    <w:rsid w:val="00E579A8"/>
    <w:rsid w:val="00E601C1"/>
    <w:rsid w:val="00E60CD3"/>
    <w:rsid w:val="00E61416"/>
    <w:rsid w:val="00E61CF3"/>
    <w:rsid w:val="00E61F2A"/>
    <w:rsid w:val="00E6234A"/>
    <w:rsid w:val="00E62553"/>
    <w:rsid w:val="00E62DAC"/>
    <w:rsid w:val="00E62F89"/>
    <w:rsid w:val="00E64F33"/>
    <w:rsid w:val="00E65211"/>
    <w:rsid w:val="00E65A37"/>
    <w:rsid w:val="00E65B1B"/>
    <w:rsid w:val="00E66207"/>
    <w:rsid w:val="00E667AE"/>
    <w:rsid w:val="00E66E2C"/>
    <w:rsid w:val="00E67146"/>
    <w:rsid w:val="00E6793E"/>
    <w:rsid w:val="00E70AF8"/>
    <w:rsid w:val="00E70B0A"/>
    <w:rsid w:val="00E72B3E"/>
    <w:rsid w:val="00E72E24"/>
    <w:rsid w:val="00E73B90"/>
    <w:rsid w:val="00E73DF2"/>
    <w:rsid w:val="00E742BD"/>
    <w:rsid w:val="00E74405"/>
    <w:rsid w:val="00E74AAD"/>
    <w:rsid w:val="00E74C84"/>
    <w:rsid w:val="00E7552C"/>
    <w:rsid w:val="00E7686F"/>
    <w:rsid w:val="00E76921"/>
    <w:rsid w:val="00E76ADE"/>
    <w:rsid w:val="00E7780C"/>
    <w:rsid w:val="00E77A1F"/>
    <w:rsid w:val="00E80AE5"/>
    <w:rsid w:val="00E81B50"/>
    <w:rsid w:val="00E81DCE"/>
    <w:rsid w:val="00E81F47"/>
    <w:rsid w:val="00E8280A"/>
    <w:rsid w:val="00E83095"/>
    <w:rsid w:val="00E83833"/>
    <w:rsid w:val="00E83A6F"/>
    <w:rsid w:val="00E83D3A"/>
    <w:rsid w:val="00E84013"/>
    <w:rsid w:val="00E841DA"/>
    <w:rsid w:val="00E84456"/>
    <w:rsid w:val="00E844D2"/>
    <w:rsid w:val="00E8492C"/>
    <w:rsid w:val="00E8495B"/>
    <w:rsid w:val="00E84A05"/>
    <w:rsid w:val="00E84FDB"/>
    <w:rsid w:val="00E858B3"/>
    <w:rsid w:val="00E85DE9"/>
    <w:rsid w:val="00E86012"/>
    <w:rsid w:val="00E862D9"/>
    <w:rsid w:val="00E86C5D"/>
    <w:rsid w:val="00E86E6D"/>
    <w:rsid w:val="00E8749D"/>
    <w:rsid w:val="00E90738"/>
    <w:rsid w:val="00E9077E"/>
    <w:rsid w:val="00E90B5E"/>
    <w:rsid w:val="00E90C63"/>
    <w:rsid w:val="00E91E41"/>
    <w:rsid w:val="00E93E2C"/>
    <w:rsid w:val="00E94527"/>
    <w:rsid w:val="00E95050"/>
    <w:rsid w:val="00E951E4"/>
    <w:rsid w:val="00E952A0"/>
    <w:rsid w:val="00E95448"/>
    <w:rsid w:val="00E95672"/>
    <w:rsid w:val="00E96A59"/>
    <w:rsid w:val="00E96B88"/>
    <w:rsid w:val="00E96BCE"/>
    <w:rsid w:val="00E96EEE"/>
    <w:rsid w:val="00EA0855"/>
    <w:rsid w:val="00EA0C02"/>
    <w:rsid w:val="00EA0E88"/>
    <w:rsid w:val="00EA1436"/>
    <w:rsid w:val="00EA21B6"/>
    <w:rsid w:val="00EA2814"/>
    <w:rsid w:val="00EA2B09"/>
    <w:rsid w:val="00EA2CEB"/>
    <w:rsid w:val="00EA36A9"/>
    <w:rsid w:val="00EA4232"/>
    <w:rsid w:val="00EA4CF8"/>
    <w:rsid w:val="00EA4D09"/>
    <w:rsid w:val="00EA5040"/>
    <w:rsid w:val="00EA63D4"/>
    <w:rsid w:val="00EA643A"/>
    <w:rsid w:val="00EA72AF"/>
    <w:rsid w:val="00EB07DE"/>
    <w:rsid w:val="00EB084D"/>
    <w:rsid w:val="00EB2466"/>
    <w:rsid w:val="00EB3DBC"/>
    <w:rsid w:val="00EB4085"/>
    <w:rsid w:val="00EB43F8"/>
    <w:rsid w:val="00EB4AC9"/>
    <w:rsid w:val="00EB4FA1"/>
    <w:rsid w:val="00EB5667"/>
    <w:rsid w:val="00EB667F"/>
    <w:rsid w:val="00EB6713"/>
    <w:rsid w:val="00EB67DF"/>
    <w:rsid w:val="00EB6A16"/>
    <w:rsid w:val="00EB7C49"/>
    <w:rsid w:val="00EC0E0F"/>
    <w:rsid w:val="00EC11E5"/>
    <w:rsid w:val="00EC14C2"/>
    <w:rsid w:val="00EC1990"/>
    <w:rsid w:val="00EC1EF2"/>
    <w:rsid w:val="00EC2733"/>
    <w:rsid w:val="00EC3314"/>
    <w:rsid w:val="00EC4770"/>
    <w:rsid w:val="00EC5482"/>
    <w:rsid w:val="00EC64FF"/>
    <w:rsid w:val="00EC66EE"/>
    <w:rsid w:val="00EC7579"/>
    <w:rsid w:val="00EC7A10"/>
    <w:rsid w:val="00ED126E"/>
    <w:rsid w:val="00ED19E0"/>
    <w:rsid w:val="00ED26CF"/>
    <w:rsid w:val="00ED33BA"/>
    <w:rsid w:val="00ED394D"/>
    <w:rsid w:val="00ED3C20"/>
    <w:rsid w:val="00ED3E38"/>
    <w:rsid w:val="00ED41E0"/>
    <w:rsid w:val="00ED421C"/>
    <w:rsid w:val="00ED57EB"/>
    <w:rsid w:val="00ED5AC9"/>
    <w:rsid w:val="00ED6559"/>
    <w:rsid w:val="00ED6629"/>
    <w:rsid w:val="00ED7ABA"/>
    <w:rsid w:val="00ED7B16"/>
    <w:rsid w:val="00ED7E50"/>
    <w:rsid w:val="00ED7FDC"/>
    <w:rsid w:val="00ED7FEC"/>
    <w:rsid w:val="00EE0064"/>
    <w:rsid w:val="00EE075C"/>
    <w:rsid w:val="00EE0F90"/>
    <w:rsid w:val="00EE10B0"/>
    <w:rsid w:val="00EE201F"/>
    <w:rsid w:val="00EE2743"/>
    <w:rsid w:val="00EE2833"/>
    <w:rsid w:val="00EE28CE"/>
    <w:rsid w:val="00EE3837"/>
    <w:rsid w:val="00EE3BE1"/>
    <w:rsid w:val="00EE3EC2"/>
    <w:rsid w:val="00EE498C"/>
    <w:rsid w:val="00EE5293"/>
    <w:rsid w:val="00EE56D3"/>
    <w:rsid w:val="00EE6F27"/>
    <w:rsid w:val="00EE7307"/>
    <w:rsid w:val="00EE7968"/>
    <w:rsid w:val="00EE7FC8"/>
    <w:rsid w:val="00EF06DF"/>
    <w:rsid w:val="00EF1C21"/>
    <w:rsid w:val="00EF25AB"/>
    <w:rsid w:val="00EF2994"/>
    <w:rsid w:val="00EF2EF5"/>
    <w:rsid w:val="00EF376F"/>
    <w:rsid w:val="00EF3CBA"/>
    <w:rsid w:val="00EF5018"/>
    <w:rsid w:val="00EF54EC"/>
    <w:rsid w:val="00EF59CE"/>
    <w:rsid w:val="00EF6C93"/>
    <w:rsid w:val="00EF6E25"/>
    <w:rsid w:val="00F015EE"/>
    <w:rsid w:val="00F02691"/>
    <w:rsid w:val="00F028F0"/>
    <w:rsid w:val="00F02D27"/>
    <w:rsid w:val="00F03130"/>
    <w:rsid w:val="00F0316D"/>
    <w:rsid w:val="00F03726"/>
    <w:rsid w:val="00F03B8E"/>
    <w:rsid w:val="00F04253"/>
    <w:rsid w:val="00F04323"/>
    <w:rsid w:val="00F04752"/>
    <w:rsid w:val="00F04EC2"/>
    <w:rsid w:val="00F04F6E"/>
    <w:rsid w:val="00F05189"/>
    <w:rsid w:val="00F0584E"/>
    <w:rsid w:val="00F05B25"/>
    <w:rsid w:val="00F05E99"/>
    <w:rsid w:val="00F079CD"/>
    <w:rsid w:val="00F07EDD"/>
    <w:rsid w:val="00F10224"/>
    <w:rsid w:val="00F10562"/>
    <w:rsid w:val="00F10724"/>
    <w:rsid w:val="00F107EA"/>
    <w:rsid w:val="00F10C6A"/>
    <w:rsid w:val="00F10D05"/>
    <w:rsid w:val="00F115A6"/>
    <w:rsid w:val="00F13001"/>
    <w:rsid w:val="00F132E2"/>
    <w:rsid w:val="00F13362"/>
    <w:rsid w:val="00F136DE"/>
    <w:rsid w:val="00F151D9"/>
    <w:rsid w:val="00F15994"/>
    <w:rsid w:val="00F15E94"/>
    <w:rsid w:val="00F15FC2"/>
    <w:rsid w:val="00F16BF0"/>
    <w:rsid w:val="00F16DFC"/>
    <w:rsid w:val="00F17082"/>
    <w:rsid w:val="00F17186"/>
    <w:rsid w:val="00F17EF5"/>
    <w:rsid w:val="00F203BF"/>
    <w:rsid w:val="00F20785"/>
    <w:rsid w:val="00F2083B"/>
    <w:rsid w:val="00F20C15"/>
    <w:rsid w:val="00F2102F"/>
    <w:rsid w:val="00F2240A"/>
    <w:rsid w:val="00F232E3"/>
    <w:rsid w:val="00F23DF4"/>
    <w:rsid w:val="00F2424C"/>
    <w:rsid w:val="00F24B31"/>
    <w:rsid w:val="00F271BE"/>
    <w:rsid w:val="00F30092"/>
    <w:rsid w:val="00F31229"/>
    <w:rsid w:val="00F31270"/>
    <w:rsid w:val="00F314A4"/>
    <w:rsid w:val="00F318BA"/>
    <w:rsid w:val="00F31F0D"/>
    <w:rsid w:val="00F32957"/>
    <w:rsid w:val="00F32B16"/>
    <w:rsid w:val="00F32F6E"/>
    <w:rsid w:val="00F331FD"/>
    <w:rsid w:val="00F336E5"/>
    <w:rsid w:val="00F337E8"/>
    <w:rsid w:val="00F35345"/>
    <w:rsid w:val="00F35F65"/>
    <w:rsid w:val="00F36A4C"/>
    <w:rsid w:val="00F37730"/>
    <w:rsid w:val="00F40476"/>
    <w:rsid w:val="00F40E4D"/>
    <w:rsid w:val="00F40FC5"/>
    <w:rsid w:val="00F421B1"/>
    <w:rsid w:val="00F428EF"/>
    <w:rsid w:val="00F42C37"/>
    <w:rsid w:val="00F42F08"/>
    <w:rsid w:val="00F432B1"/>
    <w:rsid w:val="00F44155"/>
    <w:rsid w:val="00F442F3"/>
    <w:rsid w:val="00F44D47"/>
    <w:rsid w:val="00F44DA9"/>
    <w:rsid w:val="00F45A5C"/>
    <w:rsid w:val="00F46820"/>
    <w:rsid w:val="00F46B5D"/>
    <w:rsid w:val="00F472FF"/>
    <w:rsid w:val="00F503CC"/>
    <w:rsid w:val="00F511F0"/>
    <w:rsid w:val="00F52339"/>
    <w:rsid w:val="00F526F9"/>
    <w:rsid w:val="00F53002"/>
    <w:rsid w:val="00F53137"/>
    <w:rsid w:val="00F53DD7"/>
    <w:rsid w:val="00F55D3E"/>
    <w:rsid w:val="00F55FCE"/>
    <w:rsid w:val="00F56AA9"/>
    <w:rsid w:val="00F57B59"/>
    <w:rsid w:val="00F602D2"/>
    <w:rsid w:val="00F60FDE"/>
    <w:rsid w:val="00F615D9"/>
    <w:rsid w:val="00F627FB"/>
    <w:rsid w:val="00F62E4B"/>
    <w:rsid w:val="00F63276"/>
    <w:rsid w:val="00F63684"/>
    <w:rsid w:val="00F63917"/>
    <w:rsid w:val="00F65131"/>
    <w:rsid w:val="00F65540"/>
    <w:rsid w:val="00F657F3"/>
    <w:rsid w:val="00F664EF"/>
    <w:rsid w:val="00F66A8E"/>
    <w:rsid w:val="00F66BA1"/>
    <w:rsid w:val="00F66FF7"/>
    <w:rsid w:val="00F67F48"/>
    <w:rsid w:val="00F67F7B"/>
    <w:rsid w:val="00F7042C"/>
    <w:rsid w:val="00F70B59"/>
    <w:rsid w:val="00F70FF3"/>
    <w:rsid w:val="00F7219C"/>
    <w:rsid w:val="00F724E6"/>
    <w:rsid w:val="00F73E58"/>
    <w:rsid w:val="00F75050"/>
    <w:rsid w:val="00F75620"/>
    <w:rsid w:val="00F75E94"/>
    <w:rsid w:val="00F7674C"/>
    <w:rsid w:val="00F76C8E"/>
    <w:rsid w:val="00F76F62"/>
    <w:rsid w:val="00F77618"/>
    <w:rsid w:val="00F77A4C"/>
    <w:rsid w:val="00F801B7"/>
    <w:rsid w:val="00F8059A"/>
    <w:rsid w:val="00F80B98"/>
    <w:rsid w:val="00F81F35"/>
    <w:rsid w:val="00F81FBB"/>
    <w:rsid w:val="00F820C4"/>
    <w:rsid w:val="00F826DD"/>
    <w:rsid w:val="00F832BE"/>
    <w:rsid w:val="00F834DA"/>
    <w:rsid w:val="00F83A2D"/>
    <w:rsid w:val="00F83E18"/>
    <w:rsid w:val="00F84307"/>
    <w:rsid w:val="00F84DD1"/>
    <w:rsid w:val="00F8514A"/>
    <w:rsid w:val="00F85679"/>
    <w:rsid w:val="00F85987"/>
    <w:rsid w:val="00F902FC"/>
    <w:rsid w:val="00F904A9"/>
    <w:rsid w:val="00F906D4"/>
    <w:rsid w:val="00F91764"/>
    <w:rsid w:val="00F91F4A"/>
    <w:rsid w:val="00F92032"/>
    <w:rsid w:val="00F922A7"/>
    <w:rsid w:val="00F9237A"/>
    <w:rsid w:val="00F93967"/>
    <w:rsid w:val="00F94113"/>
    <w:rsid w:val="00F94904"/>
    <w:rsid w:val="00F964D1"/>
    <w:rsid w:val="00F965CD"/>
    <w:rsid w:val="00F96ADD"/>
    <w:rsid w:val="00F974EC"/>
    <w:rsid w:val="00FA0583"/>
    <w:rsid w:val="00FA17DB"/>
    <w:rsid w:val="00FA1FF7"/>
    <w:rsid w:val="00FA2D12"/>
    <w:rsid w:val="00FA321E"/>
    <w:rsid w:val="00FA373B"/>
    <w:rsid w:val="00FA43B6"/>
    <w:rsid w:val="00FA45BE"/>
    <w:rsid w:val="00FA4CBE"/>
    <w:rsid w:val="00FA4EE0"/>
    <w:rsid w:val="00FA621E"/>
    <w:rsid w:val="00FA62A6"/>
    <w:rsid w:val="00FA68B7"/>
    <w:rsid w:val="00FA6AAA"/>
    <w:rsid w:val="00FA75D5"/>
    <w:rsid w:val="00FA7A18"/>
    <w:rsid w:val="00FA7EC3"/>
    <w:rsid w:val="00FA7EC5"/>
    <w:rsid w:val="00FB08D2"/>
    <w:rsid w:val="00FB0A0A"/>
    <w:rsid w:val="00FB0CF6"/>
    <w:rsid w:val="00FB1024"/>
    <w:rsid w:val="00FB1502"/>
    <w:rsid w:val="00FB3CE3"/>
    <w:rsid w:val="00FB3EC4"/>
    <w:rsid w:val="00FB57C9"/>
    <w:rsid w:val="00FB5C5B"/>
    <w:rsid w:val="00FB63B2"/>
    <w:rsid w:val="00FC03E7"/>
    <w:rsid w:val="00FC0CFA"/>
    <w:rsid w:val="00FC0F3A"/>
    <w:rsid w:val="00FC126D"/>
    <w:rsid w:val="00FC1370"/>
    <w:rsid w:val="00FC1669"/>
    <w:rsid w:val="00FC2126"/>
    <w:rsid w:val="00FC2922"/>
    <w:rsid w:val="00FC30EE"/>
    <w:rsid w:val="00FC317A"/>
    <w:rsid w:val="00FC36EE"/>
    <w:rsid w:val="00FC3E2B"/>
    <w:rsid w:val="00FC3E54"/>
    <w:rsid w:val="00FC3EE3"/>
    <w:rsid w:val="00FC49CE"/>
    <w:rsid w:val="00FC504D"/>
    <w:rsid w:val="00FC651C"/>
    <w:rsid w:val="00FC6A2E"/>
    <w:rsid w:val="00FC78AF"/>
    <w:rsid w:val="00FC7FBA"/>
    <w:rsid w:val="00FD01F1"/>
    <w:rsid w:val="00FD021B"/>
    <w:rsid w:val="00FD074E"/>
    <w:rsid w:val="00FD0F0F"/>
    <w:rsid w:val="00FD0F42"/>
    <w:rsid w:val="00FD16D8"/>
    <w:rsid w:val="00FD17BF"/>
    <w:rsid w:val="00FD1960"/>
    <w:rsid w:val="00FD3087"/>
    <w:rsid w:val="00FD30A2"/>
    <w:rsid w:val="00FD4BD0"/>
    <w:rsid w:val="00FD4F9C"/>
    <w:rsid w:val="00FD55D1"/>
    <w:rsid w:val="00FD5D46"/>
    <w:rsid w:val="00FD6260"/>
    <w:rsid w:val="00FD68C2"/>
    <w:rsid w:val="00FD71B5"/>
    <w:rsid w:val="00FD74B9"/>
    <w:rsid w:val="00FD74CF"/>
    <w:rsid w:val="00FE004C"/>
    <w:rsid w:val="00FE0677"/>
    <w:rsid w:val="00FE07DB"/>
    <w:rsid w:val="00FE20E9"/>
    <w:rsid w:val="00FE2EAA"/>
    <w:rsid w:val="00FE2F37"/>
    <w:rsid w:val="00FE34EA"/>
    <w:rsid w:val="00FE4073"/>
    <w:rsid w:val="00FE5C0B"/>
    <w:rsid w:val="00FE5C9A"/>
    <w:rsid w:val="00FE6484"/>
    <w:rsid w:val="00FE6667"/>
    <w:rsid w:val="00FE67DF"/>
    <w:rsid w:val="00FE6E99"/>
    <w:rsid w:val="00FE7174"/>
    <w:rsid w:val="00FF0538"/>
    <w:rsid w:val="00FF080D"/>
    <w:rsid w:val="00FF091F"/>
    <w:rsid w:val="00FF0C6B"/>
    <w:rsid w:val="00FF1CCB"/>
    <w:rsid w:val="00FF25D4"/>
    <w:rsid w:val="00FF2675"/>
    <w:rsid w:val="00FF2724"/>
    <w:rsid w:val="00FF2ECA"/>
    <w:rsid w:val="00FF34C7"/>
    <w:rsid w:val="00FF3779"/>
    <w:rsid w:val="00FF39A7"/>
    <w:rsid w:val="00FF3D51"/>
    <w:rsid w:val="00FF3D71"/>
    <w:rsid w:val="00FF4026"/>
    <w:rsid w:val="00FF45D1"/>
    <w:rsid w:val="00FF5E53"/>
    <w:rsid w:val="00FF5EA2"/>
    <w:rsid w:val="00FF63D2"/>
    <w:rsid w:val="00FF6E43"/>
    <w:rsid w:val="00FF72AD"/>
    <w:rsid w:val="00FF7880"/>
    <w:rsid w:val="011D17C1"/>
    <w:rsid w:val="01240CCD"/>
    <w:rsid w:val="01366444"/>
    <w:rsid w:val="014810BB"/>
    <w:rsid w:val="01855BA5"/>
    <w:rsid w:val="01A54EF4"/>
    <w:rsid w:val="01C8661D"/>
    <w:rsid w:val="02416AF9"/>
    <w:rsid w:val="027B2FE0"/>
    <w:rsid w:val="029E067F"/>
    <w:rsid w:val="02AC45AB"/>
    <w:rsid w:val="02FD1C6A"/>
    <w:rsid w:val="02FF7318"/>
    <w:rsid w:val="030B12EC"/>
    <w:rsid w:val="030E15A2"/>
    <w:rsid w:val="035856B4"/>
    <w:rsid w:val="03801855"/>
    <w:rsid w:val="03E65283"/>
    <w:rsid w:val="040934B7"/>
    <w:rsid w:val="0431655E"/>
    <w:rsid w:val="049027C0"/>
    <w:rsid w:val="04973DAA"/>
    <w:rsid w:val="04DA6305"/>
    <w:rsid w:val="05310F46"/>
    <w:rsid w:val="05513993"/>
    <w:rsid w:val="058C7EE0"/>
    <w:rsid w:val="05B7527D"/>
    <w:rsid w:val="05BC369E"/>
    <w:rsid w:val="05D52665"/>
    <w:rsid w:val="05EC3673"/>
    <w:rsid w:val="064F724E"/>
    <w:rsid w:val="068F1B1E"/>
    <w:rsid w:val="06E12364"/>
    <w:rsid w:val="06EB2567"/>
    <w:rsid w:val="06FD098B"/>
    <w:rsid w:val="070B25D5"/>
    <w:rsid w:val="076942C9"/>
    <w:rsid w:val="077509AD"/>
    <w:rsid w:val="077B11CC"/>
    <w:rsid w:val="07E47E7A"/>
    <w:rsid w:val="080474AD"/>
    <w:rsid w:val="08164E03"/>
    <w:rsid w:val="083036A7"/>
    <w:rsid w:val="08393AC4"/>
    <w:rsid w:val="084E5C87"/>
    <w:rsid w:val="088576A4"/>
    <w:rsid w:val="08A6548A"/>
    <w:rsid w:val="08A75A9E"/>
    <w:rsid w:val="08AC1414"/>
    <w:rsid w:val="08E92ED0"/>
    <w:rsid w:val="09352374"/>
    <w:rsid w:val="09B2284B"/>
    <w:rsid w:val="09B94F6C"/>
    <w:rsid w:val="09C00324"/>
    <w:rsid w:val="09EF2974"/>
    <w:rsid w:val="09F21ACE"/>
    <w:rsid w:val="09FC67BE"/>
    <w:rsid w:val="0A077566"/>
    <w:rsid w:val="0A511BF7"/>
    <w:rsid w:val="0AF23646"/>
    <w:rsid w:val="0AF954F1"/>
    <w:rsid w:val="0B5A26EC"/>
    <w:rsid w:val="0B9D78B5"/>
    <w:rsid w:val="0BE261EB"/>
    <w:rsid w:val="0BE81675"/>
    <w:rsid w:val="0C690A82"/>
    <w:rsid w:val="0C7D6BB0"/>
    <w:rsid w:val="0CA9087F"/>
    <w:rsid w:val="0CC249B4"/>
    <w:rsid w:val="0CF96162"/>
    <w:rsid w:val="0D036F7B"/>
    <w:rsid w:val="0D1165D9"/>
    <w:rsid w:val="0D9D5C72"/>
    <w:rsid w:val="0DAA23B8"/>
    <w:rsid w:val="0E3B6147"/>
    <w:rsid w:val="0E652597"/>
    <w:rsid w:val="0EFF1AA7"/>
    <w:rsid w:val="0F114C39"/>
    <w:rsid w:val="0F215871"/>
    <w:rsid w:val="0F465AAD"/>
    <w:rsid w:val="0F7A36B1"/>
    <w:rsid w:val="0F9D2DEA"/>
    <w:rsid w:val="0FED6341"/>
    <w:rsid w:val="100D566E"/>
    <w:rsid w:val="10C32A58"/>
    <w:rsid w:val="10D345F0"/>
    <w:rsid w:val="10DF29E2"/>
    <w:rsid w:val="10F11D4A"/>
    <w:rsid w:val="111C73DE"/>
    <w:rsid w:val="111F361E"/>
    <w:rsid w:val="11912E79"/>
    <w:rsid w:val="11A83ED0"/>
    <w:rsid w:val="11C2430A"/>
    <w:rsid w:val="120738DF"/>
    <w:rsid w:val="12286C9D"/>
    <w:rsid w:val="12450FBC"/>
    <w:rsid w:val="124828AF"/>
    <w:rsid w:val="125545A4"/>
    <w:rsid w:val="12681D89"/>
    <w:rsid w:val="12D57646"/>
    <w:rsid w:val="12EC7AF6"/>
    <w:rsid w:val="131C0CD7"/>
    <w:rsid w:val="138D0DD1"/>
    <w:rsid w:val="13EF48D6"/>
    <w:rsid w:val="14252458"/>
    <w:rsid w:val="142C2C82"/>
    <w:rsid w:val="14510309"/>
    <w:rsid w:val="14790D03"/>
    <w:rsid w:val="149F205B"/>
    <w:rsid w:val="14B3733E"/>
    <w:rsid w:val="14B96611"/>
    <w:rsid w:val="14CF08B7"/>
    <w:rsid w:val="150C1D25"/>
    <w:rsid w:val="154C1885"/>
    <w:rsid w:val="15776E94"/>
    <w:rsid w:val="15B36D7D"/>
    <w:rsid w:val="15BA7C56"/>
    <w:rsid w:val="15C42F61"/>
    <w:rsid w:val="15CB336F"/>
    <w:rsid w:val="15F7168A"/>
    <w:rsid w:val="161E6CEF"/>
    <w:rsid w:val="16716B84"/>
    <w:rsid w:val="168B6B35"/>
    <w:rsid w:val="1691567A"/>
    <w:rsid w:val="16A85F3E"/>
    <w:rsid w:val="16A95B2B"/>
    <w:rsid w:val="16AB4864"/>
    <w:rsid w:val="16E06DA5"/>
    <w:rsid w:val="16F90C2A"/>
    <w:rsid w:val="172371D5"/>
    <w:rsid w:val="173E09BC"/>
    <w:rsid w:val="175A2AA6"/>
    <w:rsid w:val="176233E1"/>
    <w:rsid w:val="17B81D76"/>
    <w:rsid w:val="17C13561"/>
    <w:rsid w:val="17D67C0D"/>
    <w:rsid w:val="18C0598A"/>
    <w:rsid w:val="18C05E15"/>
    <w:rsid w:val="18CF3167"/>
    <w:rsid w:val="192F438E"/>
    <w:rsid w:val="194E1952"/>
    <w:rsid w:val="195E3F2A"/>
    <w:rsid w:val="19701F5F"/>
    <w:rsid w:val="197F5E90"/>
    <w:rsid w:val="19BC4665"/>
    <w:rsid w:val="19DE3C8E"/>
    <w:rsid w:val="19E6424C"/>
    <w:rsid w:val="19FD4787"/>
    <w:rsid w:val="1A194E33"/>
    <w:rsid w:val="1A236727"/>
    <w:rsid w:val="1A291FC9"/>
    <w:rsid w:val="1A7910AE"/>
    <w:rsid w:val="1ADF2B53"/>
    <w:rsid w:val="1AEA36E5"/>
    <w:rsid w:val="1AFB4FDC"/>
    <w:rsid w:val="1AFF0886"/>
    <w:rsid w:val="1B046642"/>
    <w:rsid w:val="1B4E6831"/>
    <w:rsid w:val="1B6625F7"/>
    <w:rsid w:val="1B6B20AC"/>
    <w:rsid w:val="1BAC5AAA"/>
    <w:rsid w:val="1C114FC8"/>
    <w:rsid w:val="1C453074"/>
    <w:rsid w:val="1C500F16"/>
    <w:rsid w:val="1C7A182E"/>
    <w:rsid w:val="1C7B1D95"/>
    <w:rsid w:val="1C7D72DB"/>
    <w:rsid w:val="1CA80A11"/>
    <w:rsid w:val="1CAD6ACB"/>
    <w:rsid w:val="1CE81809"/>
    <w:rsid w:val="1D164F70"/>
    <w:rsid w:val="1D24547B"/>
    <w:rsid w:val="1D365DB0"/>
    <w:rsid w:val="1D5819BD"/>
    <w:rsid w:val="1DA13A75"/>
    <w:rsid w:val="1DBD6FFB"/>
    <w:rsid w:val="1DD42281"/>
    <w:rsid w:val="1E0D7D65"/>
    <w:rsid w:val="1E1D7FEF"/>
    <w:rsid w:val="1E220788"/>
    <w:rsid w:val="1E446162"/>
    <w:rsid w:val="1E9276C6"/>
    <w:rsid w:val="1EB237FD"/>
    <w:rsid w:val="1F4B5896"/>
    <w:rsid w:val="1F53106E"/>
    <w:rsid w:val="1F657E89"/>
    <w:rsid w:val="1FA14212"/>
    <w:rsid w:val="1FC904C4"/>
    <w:rsid w:val="1FE10BCB"/>
    <w:rsid w:val="1FFF67C4"/>
    <w:rsid w:val="201E18D9"/>
    <w:rsid w:val="205930F6"/>
    <w:rsid w:val="20727AE7"/>
    <w:rsid w:val="20F6428C"/>
    <w:rsid w:val="20F7783C"/>
    <w:rsid w:val="21087B72"/>
    <w:rsid w:val="214F3077"/>
    <w:rsid w:val="217E2D0A"/>
    <w:rsid w:val="2243486C"/>
    <w:rsid w:val="22515E5B"/>
    <w:rsid w:val="22715E77"/>
    <w:rsid w:val="22937AAD"/>
    <w:rsid w:val="22F47AE6"/>
    <w:rsid w:val="232639BB"/>
    <w:rsid w:val="234942DA"/>
    <w:rsid w:val="23A63788"/>
    <w:rsid w:val="23C31C12"/>
    <w:rsid w:val="23F115C6"/>
    <w:rsid w:val="23F62AD3"/>
    <w:rsid w:val="24167D7E"/>
    <w:rsid w:val="2477321D"/>
    <w:rsid w:val="24D070B6"/>
    <w:rsid w:val="24D236F1"/>
    <w:rsid w:val="24E60DCC"/>
    <w:rsid w:val="253F4BDB"/>
    <w:rsid w:val="25460451"/>
    <w:rsid w:val="256079E1"/>
    <w:rsid w:val="25934B77"/>
    <w:rsid w:val="26026F38"/>
    <w:rsid w:val="260E25B7"/>
    <w:rsid w:val="262B0D45"/>
    <w:rsid w:val="263C50EC"/>
    <w:rsid w:val="26C55877"/>
    <w:rsid w:val="26C61A0E"/>
    <w:rsid w:val="26CF2F60"/>
    <w:rsid w:val="26D40DEF"/>
    <w:rsid w:val="271B5D6D"/>
    <w:rsid w:val="272F7913"/>
    <w:rsid w:val="27945F07"/>
    <w:rsid w:val="27A825EF"/>
    <w:rsid w:val="27AD5BBB"/>
    <w:rsid w:val="281C0033"/>
    <w:rsid w:val="282A15DF"/>
    <w:rsid w:val="284C5F26"/>
    <w:rsid w:val="28594D4F"/>
    <w:rsid w:val="28720280"/>
    <w:rsid w:val="288E3651"/>
    <w:rsid w:val="289B7F82"/>
    <w:rsid w:val="289E4299"/>
    <w:rsid w:val="28D33276"/>
    <w:rsid w:val="29423C69"/>
    <w:rsid w:val="295D3564"/>
    <w:rsid w:val="298953BB"/>
    <w:rsid w:val="2ACA0780"/>
    <w:rsid w:val="2ADF10EC"/>
    <w:rsid w:val="2B0E0D71"/>
    <w:rsid w:val="2B6E75F1"/>
    <w:rsid w:val="2B997FAD"/>
    <w:rsid w:val="2BBB51E4"/>
    <w:rsid w:val="2BE71D99"/>
    <w:rsid w:val="2CA37E46"/>
    <w:rsid w:val="2CCC54EA"/>
    <w:rsid w:val="2D0C393D"/>
    <w:rsid w:val="2D6710D4"/>
    <w:rsid w:val="2DA821F9"/>
    <w:rsid w:val="2DB83D1A"/>
    <w:rsid w:val="2DBF1E39"/>
    <w:rsid w:val="2DD3595C"/>
    <w:rsid w:val="2E08198D"/>
    <w:rsid w:val="2E1C2428"/>
    <w:rsid w:val="2E522EA1"/>
    <w:rsid w:val="2E56752F"/>
    <w:rsid w:val="2ED01A8E"/>
    <w:rsid w:val="2EF05CC4"/>
    <w:rsid w:val="2EF573CF"/>
    <w:rsid w:val="2F4543E6"/>
    <w:rsid w:val="2FA87605"/>
    <w:rsid w:val="2FAB32FE"/>
    <w:rsid w:val="2FB01FC1"/>
    <w:rsid w:val="2FBE3C80"/>
    <w:rsid w:val="303352F0"/>
    <w:rsid w:val="30882504"/>
    <w:rsid w:val="30AC72B9"/>
    <w:rsid w:val="30BB0583"/>
    <w:rsid w:val="30BF4E6E"/>
    <w:rsid w:val="30C928B3"/>
    <w:rsid w:val="312E492F"/>
    <w:rsid w:val="31327003"/>
    <w:rsid w:val="31CE0448"/>
    <w:rsid w:val="32175BC2"/>
    <w:rsid w:val="3252354E"/>
    <w:rsid w:val="32D33EA5"/>
    <w:rsid w:val="32DA0317"/>
    <w:rsid w:val="32EF19AE"/>
    <w:rsid w:val="33103329"/>
    <w:rsid w:val="33302AC4"/>
    <w:rsid w:val="334D14D9"/>
    <w:rsid w:val="33657D13"/>
    <w:rsid w:val="3370715C"/>
    <w:rsid w:val="33753A91"/>
    <w:rsid w:val="33814518"/>
    <w:rsid w:val="33B30560"/>
    <w:rsid w:val="33E21C2F"/>
    <w:rsid w:val="33F30630"/>
    <w:rsid w:val="33FC1C4A"/>
    <w:rsid w:val="34955B3B"/>
    <w:rsid w:val="34B776CE"/>
    <w:rsid w:val="34CA58E1"/>
    <w:rsid w:val="34CC7AEC"/>
    <w:rsid w:val="34CE2B2B"/>
    <w:rsid w:val="34DA32CE"/>
    <w:rsid w:val="34F0356D"/>
    <w:rsid w:val="35462E8D"/>
    <w:rsid w:val="35B34C15"/>
    <w:rsid w:val="35B630AF"/>
    <w:rsid w:val="35BA21FE"/>
    <w:rsid w:val="36396621"/>
    <w:rsid w:val="36537C24"/>
    <w:rsid w:val="36AA7B58"/>
    <w:rsid w:val="36CD5BF0"/>
    <w:rsid w:val="36DB1EF5"/>
    <w:rsid w:val="36E0516E"/>
    <w:rsid w:val="37362C93"/>
    <w:rsid w:val="37A47C35"/>
    <w:rsid w:val="37D90ECB"/>
    <w:rsid w:val="37F03CE9"/>
    <w:rsid w:val="382541BF"/>
    <w:rsid w:val="38483E98"/>
    <w:rsid w:val="38661744"/>
    <w:rsid w:val="38897161"/>
    <w:rsid w:val="38990416"/>
    <w:rsid w:val="38D25A9D"/>
    <w:rsid w:val="390F7D90"/>
    <w:rsid w:val="39103519"/>
    <w:rsid w:val="395A4E3F"/>
    <w:rsid w:val="39AA43DE"/>
    <w:rsid w:val="39D20D46"/>
    <w:rsid w:val="39FC22C8"/>
    <w:rsid w:val="3ABB796A"/>
    <w:rsid w:val="3ABE139E"/>
    <w:rsid w:val="3AC801D1"/>
    <w:rsid w:val="3ACF789C"/>
    <w:rsid w:val="3AFB24EA"/>
    <w:rsid w:val="3B08433E"/>
    <w:rsid w:val="3B175A33"/>
    <w:rsid w:val="3B1937E7"/>
    <w:rsid w:val="3B526FBA"/>
    <w:rsid w:val="3B7370F1"/>
    <w:rsid w:val="3BAA226C"/>
    <w:rsid w:val="3C0B4917"/>
    <w:rsid w:val="3C591244"/>
    <w:rsid w:val="3C5E6CF0"/>
    <w:rsid w:val="3C6F5217"/>
    <w:rsid w:val="3C9A26F7"/>
    <w:rsid w:val="3D006F2A"/>
    <w:rsid w:val="3D046799"/>
    <w:rsid w:val="3D2C6BB5"/>
    <w:rsid w:val="3D5111AA"/>
    <w:rsid w:val="3D5D365F"/>
    <w:rsid w:val="3DA2492E"/>
    <w:rsid w:val="3DD20516"/>
    <w:rsid w:val="3E2C65D6"/>
    <w:rsid w:val="3E2E604E"/>
    <w:rsid w:val="3E317560"/>
    <w:rsid w:val="3E354F4F"/>
    <w:rsid w:val="3E734255"/>
    <w:rsid w:val="3EE15D9A"/>
    <w:rsid w:val="3F3024A3"/>
    <w:rsid w:val="3F7E744E"/>
    <w:rsid w:val="3F8704CC"/>
    <w:rsid w:val="3FA264A1"/>
    <w:rsid w:val="3FB21E9E"/>
    <w:rsid w:val="3FB224C7"/>
    <w:rsid w:val="3FEC40C8"/>
    <w:rsid w:val="3FF33DE1"/>
    <w:rsid w:val="40624274"/>
    <w:rsid w:val="40A612FD"/>
    <w:rsid w:val="40B50977"/>
    <w:rsid w:val="40CC1496"/>
    <w:rsid w:val="40DA52FF"/>
    <w:rsid w:val="41437A92"/>
    <w:rsid w:val="4166437F"/>
    <w:rsid w:val="416C56FF"/>
    <w:rsid w:val="41B53165"/>
    <w:rsid w:val="42F11F0B"/>
    <w:rsid w:val="42F30BA9"/>
    <w:rsid w:val="431E7A44"/>
    <w:rsid w:val="43305A44"/>
    <w:rsid w:val="433C2FC6"/>
    <w:rsid w:val="434607FB"/>
    <w:rsid w:val="43746DBF"/>
    <w:rsid w:val="439C7CB1"/>
    <w:rsid w:val="43C1496D"/>
    <w:rsid w:val="43E6617E"/>
    <w:rsid w:val="43F117D1"/>
    <w:rsid w:val="44001C6E"/>
    <w:rsid w:val="440B788B"/>
    <w:rsid w:val="442F662D"/>
    <w:rsid w:val="44371C0D"/>
    <w:rsid w:val="444321B2"/>
    <w:rsid w:val="449A03AB"/>
    <w:rsid w:val="44AE0999"/>
    <w:rsid w:val="44B16B92"/>
    <w:rsid w:val="44C662A3"/>
    <w:rsid w:val="450A23E8"/>
    <w:rsid w:val="45355DE2"/>
    <w:rsid w:val="455C6D55"/>
    <w:rsid w:val="45822D55"/>
    <w:rsid w:val="45B156FB"/>
    <w:rsid w:val="464E72A3"/>
    <w:rsid w:val="46804F0B"/>
    <w:rsid w:val="4680592D"/>
    <w:rsid w:val="46D105AA"/>
    <w:rsid w:val="476E0952"/>
    <w:rsid w:val="47BC1DD2"/>
    <w:rsid w:val="47C4671C"/>
    <w:rsid w:val="47DA2312"/>
    <w:rsid w:val="48371EA7"/>
    <w:rsid w:val="48447023"/>
    <w:rsid w:val="48A94200"/>
    <w:rsid w:val="48BF751B"/>
    <w:rsid w:val="48EB606C"/>
    <w:rsid w:val="490374FE"/>
    <w:rsid w:val="490B6E04"/>
    <w:rsid w:val="4999026A"/>
    <w:rsid w:val="49995E52"/>
    <w:rsid w:val="499D2FF5"/>
    <w:rsid w:val="49A6647B"/>
    <w:rsid w:val="49B232D7"/>
    <w:rsid w:val="49DE2CC3"/>
    <w:rsid w:val="49E3616F"/>
    <w:rsid w:val="4A31668B"/>
    <w:rsid w:val="4A5A6C29"/>
    <w:rsid w:val="4A823555"/>
    <w:rsid w:val="4AAD1964"/>
    <w:rsid w:val="4AD903EA"/>
    <w:rsid w:val="4AE069F8"/>
    <w:rsid w:val="4B232E0C"/>
    <w:rsid w:val="4B304570"/>
    <w:rsid w:val="4C14391C"/>
    <w:rsid w:val="4C56466D"/>
    <w:rsid w:val="4C8A3F05"/>
    <w:rsid w:val="4CB730C2"/>
    <w:rsid w:val="4CCD007C"/>
    <w:rsid w:val="4CEF1BF5"/>
    <w:rsid w:val="4DB435CE"/>
    <w:rsid w:val="4DD21803"/>
    <w:rsid w:val="4E0D2CE8"/>
    <w:rsid w:val="4E253AAE"/>
    <w:rsid w:val="4E4D2832"/>
    <w:rsid w:val="4EA9109B"/>
    <w:rsid w:val="4EF11A80"/>
    <w:rsid w:val="4F592D3A"/>
    <w:rsid w:val="4F5D04CE"/>
    <w:rsid w:val="4F630783"/>
    <w:rsid w:val="4FB93F7E"/>
    <w:rsid w:val="4FF97845"/>
    <w:rsid w:val="50205FEF"/>
    <w:rsid w:val="506B53AB"/>
    <w:rsid w:val="50913586"/>
    <w:rsid w:val="509941EC"/>
    <w:rsid w:val="50CB7035"/>
    <w:rsid w:val="511D3DDA"/>
    <w:rsid w:val="51367842"/>
    <w:rsid w:val="517E38D9"/>
    <w:rsid w:val="51885367"/>
    <w:rsid w:val="51D51E6A"/>
    <w:rsid w:val="526A60B0"/>
    <w:rsid w:val="52711186"/>
    <w:rsid w:val="52740EF8"/>
    <w:rsid w:val="528A4AEB"/>
    <w:rsid w:val="528E0C98"/>
    <w:rsid w:val="52D2086D"/>
    <w:rsid w:val="52F60610"/>
    <w:rsid w:val="53566A79"/>
    <w:rsid w:val="53763D46"/>
    <w:rsid w:val="53A0046C"/>
    <w:rsid w:val="53F44DA0"/>
    <w:rsid w:val="53F604D1"/>
    <w:rsid w:val="54051285"/>
    <w:rsid w:val="54235AFB"/>
    <w:rsid w:val="544C1BF1"/>
    <w:rsid w:val="5455489C"/>
    <w:rsid w:val="54620F6F"/>
    <w:rsid w:val="5474544E"/>
    <w:rsid w:val="54D35387"/>
    <w:rsid w:val="55051ECA"/>
    <w:rsid w:val="556704CA"/>
    <w:rsid w:val="559E7A64"/>
    <w:rsid w:val="55DB2441"/>
    <w:rsid w:val="55ED6D47"/>
    <w:rsid w:val="55FF1D33"/>
    <w:rsid w:val="560069D5"/>
    <w:rsid w:val="56844B0E"/>
    <w:rsid w:val="570B5C10"/>
    <w:rsid w:val="576232F1"/>
    <w:rsid w:val="57F22509"/>
    <w:rsid w:val="58D62116"/>
    <w:rsid w:val="58FC1144"/>
    <w:rsid w:val="59097FA0"/>
    <w:rsid w:val="591C145E"/>
    <w:rsid w:val="59232E8A"/>
    <w:rsid w:val="5939016B"/>
    <w:rsid w:val="59392198"/>
    <w:rsid w:val="59D57337"/>
    <w:rsid w:val="5A0B7DA0"/>
    <w:rsid w:val="5A7432E6"/>
    <w:rsid w:val="5A7655BA"/>
    <w:rsid w:val="5A7C3AD1"/>
    <w:rsid w:val="5ABC2171"/>
    <w:rsid w:val="5AC335CF"/>
    <w:rsid w:val="5B035141"/>
    <w:rsid w:val="5B0F2A17"/>
    <w:rsid w:val="5B107B38"/>
    <w:rsid w:val="5B3053CA"/>
    <w:rsid w:val="5B3F65A1"/>
    <w:rsid w:val="5B5E31C6"/>
    <w:rsid w:val="5BC7030D"/>
    <w:rsid w:val="5BD60CEF"/>
    <w:rsid w:val="5C192D25"/>
    <w:rsid w:val="5C2D298A"/>
    <w:rsid w:val="5C4538D0"/>
    <w:rsid w:val="5C5B125E"/>
    <w:rsid w:val="5C903D09"/>
    <w:rsid w:val="5CCB66B6"/>
    <w:rsid w:val="5CE05AC3"/>
    <w:rsid w:val="5D2124E2"/>
    <w:rsid w:val="5D6323F5"/>
    <w:rsid w:val="5D711B7E"/>
    <w:rsid w:val="5D831F83"/>
    <w:rsid w:val="5DE01850"/>
    <w:rsid w:val="5E0603E4"/>
    <w:rsid w:val="5E381C05"/>
    <w:rsid w:val="5E6F6DF9"/>
    <w:rsid w:val="5E825C40"/>
    <w:rsid w:val="5E8A6BF3"/>
    <w:rsid w:val="5EE318F5"/>
    <w:rsid w:val="5EE40102"/>
    <w:rsid w:val="5F434B22"/>
    <w:rsid w:val="5F490E06"/>
    <w:rsid w:val="5F7E0629"/>
    <w:rsid w:val="5FA01C23"/>
    <w:rsid w:val="603C50E3"/>
    <w:rsid w:val="60B36F20"/>
    <w:rsid w:val="60B473F1"/>
    <w:rsid w:val="60E41CF9"/>
    <w:rsid w:val="60E90A97"/>
    <w:rsid w:val="614B612C"/>
    <w:rsid w:val="61747E96"/>
    <w:rsid w:val="61DC55F1"/>
    <w:rsid w:val="62763FA5"/>
    <w:rsid w:val="62AC318C"/>
    <w:rsid w:val="62DB79B7"/>
    <w:rsid w:val="63411BE2"/>
    <w:rsid w:val="63715D00"/>
    <w:rsid w:val="63F6209C"/>
    <w:rsid w:val="643C64BC"/>
    <w:rsid w:val="643F4284"/>
    <w:rsid w:val="6477467C"/>
    <w:rsid w:val="64800166"/>
    <w:rsid w:val="64973236"/>
    <w:rsid w:val="64AC510D"/>
    <w:rsid w:val="65191EEF"/>
    <w:rsid w:val="653D5A89"/>
    <w:rsid w:val="65532631"/>
    <w:rsid w:val="65635BC8"/>
    <w:rsid w:val="65827AF3"/>
    <w:rsid w:val="65C17EE0"/>
    <w:rsid w:val="65CB3A25"/>
    <w:rsid w:val="65FA0EC2"/>
    <w:rsid w:val="663A0837"/>
    <w:rsid w:val="664A723A"/>
    <w:rsid w:val="66926B9F"/>
    <w:rsid w:val="67257A82"/>
    <w:rsid w:val="672B341F"/>
    <w:rsid w:val="6769097B"/>
    <w:rsid w:val="67D223D3"/>
    <w:rsid w:val="67D55055"/>
    <w:rsid w:val="6803458D"/>
    <w:rsid w:val="681467CA"/>
    <w:rsid w:val="68284F1D"/>
    <w:rsid w:val="68842D87"/>
    <w:rsid w:val="688D619D"/>
    <w:rsid w:val="697E0703"/>
    <w:rsid w:val="698745CC"/>
    <w:rsid w:val="69E40454"/>
    <w:rsid w:val="6A333B0E"/>
    <w:rsid w:val="6A782D8E"/>
    <w:rsid w:val="6ACA5374"/>
    <w:rsid w:val="6AED583B"/>
    <w:rsid w:val="6B3D68FF"/>
    <w:rsid w:val="6BE102B9"/>
    <w:rsid w:val="6BF55BC5"/>
    <w:rsid w:val="6C1D02A8"/>
    <w:rsid w:val="6C1F3518"/>
    <w:rsid w:val="6D393F97"/>
    <w:rsid w:val="6D436A20"/>
    <w:rsid w:val="6D9B512F"/>
    <w:rsid w:val="6DDD72DC"/>
    <w:rsid w:val="6DF1299C"/>
    <w:rsid w:val="6EB8411F"/>
    <w:rsid w:val="6EBA6B11"/>
    <w:rsid w:val="6EC44515"/>
    <w:rsid w:val="6F0216CA"/>
    <w:rsid w:val="6F2336C6"/>
    <w:rsid w:val="6F2F773A"/>
    <w:rsid w:val="6F593C8B"/>
    <w:rsid w:val="6F7D7E99"/>
    <w:rsid w:val="6FAA50B7"/>
    <w:rsid w:val="6FAB4529"/>
    <w:rsid w:val="6FAF302D"/>
    <w:rsid w:val="6FC778DD"/>
    <w:rsid w:val="6FCA17DC"/>
    <w:rsid w:val="6FDC0B73"/>
    <w:rsid w:val="6FF667A8"/>
    <w:rsid w:val="70083554"/>
    <w:rsid w:val="70354397"/>
    <w:rsid w:val="70B22194"/>
    <w:rsid w:val="70B75A87"/>
    <w:rsid w:val="70C302B6"/>
    <w:rsid w:val="70CF5D49"/>
    <w:rsid w:val="710C2894"/>
    <w:rsid w:val="711F36B6"/>
    <w:rsid w:val="717B3656"/>
    <w:rsid w:val="71870C2F"/>
    <w:rsid w:val="71D2000E"/>
    <w:rsid w:val="72266CC2"/>
    <w:rsid w:val="724F447F"/>
    <w:rsid w:val="729E5612"/>
    <w:rsid w:val="73176DA8"/>
    <w:rsid w:val="735D318A"/>
    <w:rsid w:val="73767787"/>
    <w:rsid w:val="73C73706"/>
    <w:rsid w:val="73DC6EC8"/>
    <w:rsid w:val="74521DC9"/>
    <w:rsid w:val="74533680"/>
    <w:rsid w:val="746720EF"/>
    <w:rsid w:val="7470703D"/>
    <w:rsid w:val="74CB703A"/>
    <w:rsid w:val="74DE64C2"/>
    <w:rsid w:val="74F96536"/>
    <w:rsid w:val="7510757E"/>
    <w:rsid w:val="756739AE"/>
    <w:rsid w:val="756D2C08"/>
    <w:rsid w:val="75A24EA3"/>
    <w:rsid w:val="75C33A06"/>
    <w:rsid w:val="760D3810"/>
    <w:rsid w:val="761E4ABF"/>
    <w:rsid w:val="76314672"/>
    <w:rsid w:val="763801DE"/>
    <w:rsid w:val="765B4907"/>
    <w:rsid w:val="76C23468"/>
    <w:rsid w:val="773F35F5"/>
    <w:rsid w:val="77B1697E"/>
    <w:rsid w:val="77D01C44"/>
    <w:rsid w:val="77E83DDD"/>
    <w:rsid w:val="7839452B"/>
    <w:rsid w:val="78394560"/>
    <w:rsid w:val="785C3A82"/>
    <w:rsid w:val="78700771"/>
    <w:rsid w:val="787E35D0"/>
    <w:rsid w:val="790760D5"/>
    <w:rsid w:val="794416F4"/>
    <w:rsid w:val="798454FA"/>
    <w:rsid w:val="79C15B8A"/>
    <w:rsid w:val="7A2578B6"/>
    <w:rsid w:val="7A2B4748"/>
    <w:rsid w:val="7A633045"/>
    <w:rsid w:val="7A8E6D97"/>
    <w:rsid w:val="7AAF068F"/>
    <w:rsid w:val="7AB65D68"/>
    <w:rsid w:val="7AE95AB7"/>
    <w:rsid w:val="7AF253CF"/>
    <w:rsid w:val="7AF414E5"/>
    <w:rsid w:val="7B591FB7"/>
    <w:rsid w:val="7B5A54C6"/>
    <w:rsid w:val="7C0D5E95"/>
    <w:rsid w:val="7C2B6533"/>
    <w:rsid w:val="7C4F6CCB"/>
    <w:rsid w:val="7C597AA7"/>
    <w:rsid w:val="7C6C1A1E"/>
    <w:rsid w:val="7CAA2B94"/>
    <w:rsid w:val="7CC376C0"/>
    <w:rsid w:val="7CE63BE6"/>
    <w:rsid w:val="7D0D13AC"/>
    <w:rsid w:val="7D240D0D"/>
    <w:rsid w:val="7D5D3AB2"/>
    <w:rsid w:val="7D6D1DA1"/>
    <w:rsid w:val="7D9E3A81"/>
    <w:rsid w:val="7DC30DC0"/>
    <w:rsid w:val="7DFF2B4E"/>
    <w:rsid w:val="7E391A99"/>
    <w:rsid w:val="7E3967D4"/>
    <w:rsid w:val="7E3B764E"/>
    <w:rsid w:val="7E4012AF"/>
    <w:rsid w:val="7E5D024E"/>
    <w:rsid w:val="7E633FD2"/>
    <w:rsid w:val="7EFD5B12"/>
    <w:rsid w:val="7F215B26"/>
    <w:rsid w:val="7F494AEE"/>
    <w:rsid w:val="7F715144"/>
    <w:rsid w:val="7F882A65"/>
    <w:rsid w:val="7F980F5E"/>
    <w:rsid w:val="7FA0676F"/>
    <w:rsid w:val="7FB12CFE"/>
    <w:rsid w:val="7FCD113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39" w:semiHidden="0" w:name="toc 3"/>
    <w:lsdException w:unhideWhenUsed="0" w:uiPriority="39" w:semiHidden="0" w:name="toc 4"/>
    <w:lsdException w:unhideWhenUsed="0" w:uiPriority="39" w:semiHidden="0" w:name="toc 5"/>
    <w:lsdException w:unhideWhenUsed="0" w:uiPriority="39" w:semiHidden="0" w:name="toc 6"/>
    <w:lsdException w:unhideWhenUsed="0" w:uiPriority="39" w:semiHidden="0" w:name="toc 7"/>
    <w:lsdException w:unhideWhenUsed="0" w:uiPriority="39" w:semiHidden="0" w:name="toc 8"/>
    <w:lsdException w:unhideWhenUsed="0"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lang w:val="en-US" w:eastAsia="zh-CN" w:bidi="ar-SA"/>
    </w:rPr>
  </w:style>
  <w:style w:type="paragraph" w:styleId="4">
    <w:name w:val="heading 1"/>
    <w:basedOn w:val="1"/>
    <w:next w:val="5"/>
    <w:link w:val="58"/>
    <w:qFormat/>
    <w:uiPriority w:val="0"/>
    <w:pPr>
      <w:keepNext/>
      <w:keepLines/>
      <w:pageBreakBefore/>
      <w:adjustRightInd w:val="0"/>
      <w:spacing w:before="200" w:beforeLines="200" w:after="100" w:afterLines="100"/>
      <w:jc w:val="center"/>
      <w:textAlignment w:val="baseline"/>
      <w:outlineLvl w:val="0"/>
    </w:pPr>
    <w:rPr>
      <w:rFonts w:ascii="Times New Roman" w:hAnsi="Times New Roman" w:eastAsia="宋体"/>
      <w:b/>
      <w:kern w:val="44"/>
      <w:sz w:val="36"/>
    </w:rPr>
  </w:style>
  <w:style w:type="paragraph" w:styleId="6">
    <w:name w:val="heading 2"/>
    <w:basedOn w:val="1"/>
    <w:next w:val="1"/>
    <w:link w:val="60"/>
    <w:qFormat/>
    <w:uiPriority w:val="0"/>
    <w:pPr>
      <w:keepNext/>
      <w:keepLines/>
      <w:spacing w:before="260" w:after="260" w:line="413" w:lineRule="auto"/>
      <w:outlineLvl w:val="1"/>
    </w:pPr>
    <w:rPr>
      <w:rFonts w:ascii="Arial" w:hAnsi="Arial" w:eastAsia="黑体"/>
      <w:b/>
      <w:sz w:val="32"/>
    </w:rPr>
  </w:style>
  <w:style w:type="paragraph" w:styleId="7">
    <w:name w:val="heading 3"/>
    <w:basedOn w:val="1"/>
    <w:next w:val="1"/>
    <w:link w:val="61"/>
    <w:qFormat/>
    <w:uiPriority w:val="0"/>
    <w:pPr>
      <w:keepNext/>
      <w:keepLines/>
      <w:spacing w:before="100" w:line="540" w:lineRule="exact"/>
      <w:outlineLvl w:val="2"/>
    </w:pPr>
    <w:rPr>
      <w:rFonts w:ascii="Times New Roman" w:hAnsi="Times New Roman" w:eastAsia="宋体"/>
      <w:b/>
      <w:sz w:val="28"/>
    </w:rPr>
  </w:style>
  <w:style w:type="paragraph" w:styleId="8">
    <w:name w:val="heading 4"/>
    <w:basedOn w:val="1"/>
    <w:next w:val="1"/>
    <w:link w:val="62"/>
    <w:qFormat/>
    <w:uiPriority w:val="0"/>
    <w:pPr>
      <w:keepNext/>
      <w:keepLines/>
      <w:numPr>
        <w:ilvl w:val="3"/>
        <w:numId w:val="1"/>
      </w:numPr>
      <w:tabs>
        <w:tab w:val="left" w:pos="0"/>
      </w:tabs>
      <w:spacing w:before="280" w:after="290" w:line="372" w:lineRule="auto"/>
      <w:outlineLvl w:val="3"/>
    </w:pPr>
    <w:rPr>
      <w:rFonts w:ascii="Arial" w:hAnsi="Arial" w:eastAsia="黑体"/>
      <w:b/>
      <w:sz w:val="28"/>
    </w:rPr>
  </w:style>
  <w:style w:type="paragraph" w:styleId="9">
    <w:name w:val="heading 5"/>
    <w:basedOn w:val="1"/>
    <w:next w:val="1"/>
    <w:link w:val="63"/>
    <w:qFormat/>
    <w:uiPriority w:val="0"/>
    <w:pPr>
      <w:keepNext/>
      <w:keepLines/>
      <w:numPr>
        <w:ilvl w:val="4"/>
        <w:numId w:val="1"/>
      </w:numPr>
      <w:tabs>
        <w:tab w:val="left" w:pos="1008"/>
      </w:tabs>
      <w:spacing w:before="280" w:after="290" w:line="372" w:lineRule="auto"/>
      <w:outlineLvl w:val="4"/>
    </w:pPr>
    <w:rPr>
      <w:b/>
      <w:sz w:val="28"/>
    </w:rPr>
  </w:style>
  <w:style w:type="paragraph" w:styleId="10">
    <w:name w:val="heading 6"/>
    <w:basedOn w:val="1"/>
    <w:next w:val="1"/>
    <w:link w:val="64"/>
    <w:qFormat/>
    <w:uiPriority w:val="0"/>
    <w:pPr>
      <w:keepNext/>
      <w:keepLines/>
      <w:numPr>
        <w:ilvl w:val="5"/>
        <w:numId w:val="1"/>
      </w:numPr>
      <w:tabs>
        <w:tab w:val="left" w:pos="1152"/>
      </w:tabs>
      <w:spacing w:before="240" w:after="64" w:line="317" w:lineRule="auto"/>
      <w:outlineLvl w:val="5"/>
    </w:pPr>
    <w:rPr>
      <w:rFonts w:ascii="Arial" w:hAnsi="Arial" w:eastAsia="黑体"/>
      <w:b/>
      <w:sz w:val="24"/>
    </w:rPr>
  </w:style>
  <w:style w:type="paragraph" w:styleId="11">
    <w:name w:val="heading 7"/>
    <w:basedOn w:val="1"/>
    <w:next w:val="1"/>
    <w:link w:val="65"/>
    <w:qFormat/>
    <w:uiPriority w:val="0"/>
    <w:pPr>
      <w:keepNext/>
      <w:keepLines/>
      <w:numPr>
        <w:ilvl w:val="6"/>
        <w:numId w:val="1"/>
      </w:numPr>
      <w:tabs>
        <w:tab w:val="left" w:pos="1296"/>
      </w:tabs>
      <w:spacing w:before="240" w:after="64" w:line="317" w:lineRule="auto"/>
      <w:outlineLvl w:val="6"/>
    </w:pPr>
    <w:rPr>
      <w:b/>
      <w:sz w:val="24"/>
    </w:rPr>
  </w:style>
  <w:style w:type="paragraph" w:styleId="12">
    <w:name w:val="heading 8"/>
    <w:basedOn w:val="1"/>
    <w:next w:val="1"/>
    <w:link w:val="66"/>
    <w:qFormat/>
    <w:uiPriority w:val="0"/>
    <w:pPr>
      <w:keepNext/>
      <w:keepLines/>
      <w:numPr>
        <w:ilvl w:val="7"/>
        <w:numId w:val="1"/>
      </w:numPr>
      <w:tabs>
        <w:tab w:val="left" w:pos="1440"/>
      </w:tabs>
      <w:spacing w:before="240" w:after="64" w:line="317" w:lineRule="auto"/>
      <w:outlineLvl w:val="7"/>
    </w:pPr>
    <w:rPr>
      <w:rFonts w:ascii="Arial" w:hAnsi="Arial" w:eastAsia="黑体"/>
      <w:sz w:val="24"/>
    </w:rPr>
  </w:style>
  <w:style w:type="paragraph" w:styleId="13">
    <w:name w:val="heading 9"/>
    <w:basedOn w:val="1"/>
    <w:next w:val="1"/>
    <w:link w:val="67"/>
    <w:qFormat/>
    <w:uiPriority w:val="0"/>
    <w:pPr>
      <w:keepNext/>
      <w:keepLines/>
      <w:numPr>
        <w:ilvl w:val="8"/>
        <w:numId w:val="1"/>
      </w:numPr>
      <w:tabs>
        <w:tab w:val="left" w:pos="1584"/>
      </w:tabs>
      <w:spacing w:before="240" w:after="64" w:line="317" w:lineRule="auto"/>
      <w:outlineLvl w:val="8"/>
    </w:pPr>
    <w:rPr>
      <w:rFonts w:ascii="Arial" w:hAnsi="Arial" w:eastAsia="黑体"/>
    </w:rPr>
  </w:style>
  <w:style w:type="character" w:default="1" w:styleId="44">
    <w:name w:val="Default Paragraph Font"/>
    <w:uiPriority w:val="0"/>
  </w:style>
  <w:style w:type="table" w:default="1" w:styleId="41">
    <w:name w:val="Normal Table"/>
    <w:semiHidden/>
    <w:uiPriority w:val="0"/>
    <w:tblPr>
      <w:tblCellMar>
        <w:top w:w="0" w:type="dxa"/>
        <w:left w:w="108" w:type="dxa"/>
        <w:bottom w:w="0" w:type="dxa"/>
        <w:right w:w="108" w:type="dxa"/>
      </w:tblCellMar>
    </w:tblPr>
  </w:style>
  <w:style w:type="paragraph" w:styleId="2">
    <w:name w:val="Body Text"/>
    <w:basedOn w:val="1"/>
    <w:next w:val="3"/>
    <w:link w:val="56"/>
    <w:uiPriority w:val="0"/>
    <w:pPr>
      <w:spacing w:afterLines="0" w:afterAutospacing="0" w:line="540" w:lineRule="exact"/>
      <w:ind w:firstLine="643" w:firstLineChars="200"/>
    </w:pPr>
    <w:rPr>
      <w:rFonts w:ascii="Times New Roman" w:hAnsi="Times New Roman" w:eastAsia="宋体"/>
      <w:sz w:val="28"/>
    </w:rPr>
  </w:style>
  <w:style w:type="paragraph" w:styleId="3">
    <w:name w:val="Date"/>
    <w:basedOn w:val="1"/>
    <w:next w:val="1"/>
    <w:link w:val="57"/>
    <w:uiPriority w:val="0"/>
    <w:pPr>
      <w:ind w:left="100" w:leftChars="2500"/>
    </w:pPr>
  </w:style>
  <w:style w:type="paragraph" w:styleId="5">
    <w:name w:val="Body Text Indent 2"/>
    <w:basedOn w:val="1"/>
    <w:link w:val="59"/>
    <w:uiPriority w:val="0"/>
    <w:pPr>
      <w:spacing w:after="120" w:afterLines="0" w:afterAutospacing="0" w:line="480" w:lineRule="auto"/>
      <w:ind w:left="420" w:leftChars="200"/>
    </w:pPr>
  </w:style>
  <w:style w:type="paragraph" w:styleId="14">
    <w:name w:val="toc 7"/>
    <w:basedOn w:val="1"/>
    <w:next w:val="1"/>
    <w:uiPriority w:val="39"/>
    <w:pPr>
      <w:ind w:left="1260"/>
      <w:jc w:val="left"/>
    </w:pPr>
    <w:rPr>
      <w:sz w:val="18"/>
    </w:rPr>
  </w:style>
  <w:style w:type="paragraph" w:styleId="15">
    <w:name w:val="List Number"/>
    <w:basedOn w:val="1"/>
    <w:uiPriority w:val="0"/>
    <w:pPr>
      <w:tabs>
        <w:tab w:val="left" w:pos="307"/>
      </w:tabs>
      <w:ind w:left="307" w:hanging="194"/>
    </w:pPr>
  </w:style>
  <w:style w:type="paragraph" w:styleId="16">
    <w:name w:val="Normal Indent"/>
    <w:basedOn w:val="1"/>
    <w:link w:val="68"/>
    <w:uiPriority w:val="0"/>
    <w:pPr>
      <w:ind w:firstLine="420" w:firstLineChars="200"/>
    </w:pPr>
  </w:style>
  <w:style w:type="paragraph" w:styleId="17">
    <w:name w:val="caption"/>
    <w:basedOn w:val="1"/>
    <w:next w:val="1"/>
    <w:qFormat/>
    <w:uiPriority w:val="0"/>
    <w:pPr>
      <w:adjustRightInd w:val="0"/>
      <w:spacing w:line="360" w:lineRule="auto"/>
      <w:jc w:val="center"/>
      <w:textAlignment w:val="baseline"/>
    </w:pPr>
    <w:rPr>
      <w:b/>
      <w:sz w:val="28"/>
    </w:rPr>
  </w:style>
  <w:style w:type="paragraph" w:styleId="18">
    <w:name w:val="List Bullet"/>
    <w:basedOn w:val="1"/>
    <w:uiPriority w:val="0"/>
    <w:pPr>
      <w:numPr>
        <w:ilvl w:val="0"/>
        <w:numId w:val="2"/>
      </w:numPr>
    </w:pPr>
  </w:style>
  <w:style w:type="paragraph" w:styleId="19">
    <w:name w:val="Document Map"/>
    <w:basedOn w:val="1"/>
    <w:link w:val="69"/>
    <w:uiPriority w:val="0"/>
    <w:pPr>
      <w:shd w:val="clear" w:color="auto" w:fill="000080"/>
    </w:pPr>
  </w:style>
  <w:style w:type="paragraph" w:styleId="20">
    <w:name w:val="annotation text"/>
    <w:basedOn w:val="1"/>
    <w:link w:val="70"/>
    <w:uiPriority w:val="0"/>
    <w:pPr>
      <w:jc w:val="left"/>
    </w:pPr>
    <w:rPr>
      <w:sz w:val="28"/>
    </w:rPr>
  </w:style>
  <w:style w:type="paragraph" w:styleId="21">
    <w:name w:val="Body Text 3"/>
    <w:basedOn w:val="1"/>
    <w:link w:val="71"/>
    <w:uiPriority w:val="0"/>
    <w:pPr>
      <w:spacing w:after="120" w:afterLines="0" w:afterAutospacing="0"/>
    </w:pPr>
    <w:rPr>
      <w:sz w:val="16"/>
    </w:rPr>
  </w:style>
  <w:style w:type="paragraph" w:styleId="22">
    <w:name w:val="Body Text Indent"/>
    <w:basedOn w:val="1"/>
    <w:link w:val="72"/>
    <w:uiPriority w:val="0"/>
    <w:pPr>
      <w:spacing w:after="120" w:afterLines="0" w:afterAutospacing="0"/>
      <w:ind w:left="420" w:leftChars="200"/>
    </w:pPr>
  </w:style>
  <w:style w:type="paragraph" w:styleId="23">
    <w:name w:val="toc 5"/>
    <w:basedOn w:val="1"/>
    <w:next w:val="1"/>
    <w:uiPriority w:val="39"/>
    <w:pPr>
      <w:ind w:left="840"/>
      <w:jc w:val="left"/>
    </w:pPr>
    <w:rPr>
      <w:sz w:val="18"/>
    </w:rPr>
  </w:style>
  <w:style w:type="paragraph" w:styleId="24">
    <w:name w:val="toc 3"/>
    <w:basedOn w:val="1"/>
    <w:next w:val="1"/>
    <w:link w:val="73"/>
    <w:uiPriority w:val="39"/>
    <w:pPr>
      <w:spacing w:line="540" w:lineRule="exact"/>
      <w:ind w:left="0" w:leftChars="0"/>
      <w:jc w:val="center"/>
    </w:pPr>
    <w:rPr>
      <w:rFonts w:ascii="Times New Roman" w:hAnsi="Times New Roman" w:eastAsia="宋体"/>
      <w:b/>
      <w:sz w:val="28"/>
    </w:rPr>
  </w:style>
  <w:style w:type="paragraph" w:styleId="25">
    <w:name w:val="Plain Text"/>
    <w:basedOn w:val="1"/>
    <w:link w:val="74"/>
    <w:uiPriority w:val="0"/>
    <w:pPr>
      <w:jc w:val="center"/>
    </w:pPr>
    <w:rPr>
      <w:rFonts w:ascii="Times New Roman" w:hAnsi="Times New Roman" w:eastAsia="宋体"/>
      <w:sz w:val="24"/>
    </w:rPr>
  </w:style>
  <w:style w:type="paragraph" w:styleId="26">
    <w:name w:val="toc 8"/>
    <w:basedOn w:val="1"/>
    <w:next w:val="1"/>
    <w:uiPriority w:val="39"/>
    <w:pPr>
      <w:ind w:left="1470"/>
      <w:jc w:val="left"/>
    </w:pPr>
    <w:rPr>
      <w:sz w:val="18"/>
    </w:rPr>
  </w:style>
  <w:style w:type="paragraph" w:styleId="27">
    <w:name w:val="Balloon Text"/>
    <w:basedOn w:val="1"/>
    <w:link w:val="75"/>
    <w:uiPriority w:val="0"/>
    <w:rPr>
      <w:sz w:val="18"/>
    </w:rPr>
  </w:style>
  <w:style w:type="paragraph" w:styleId="28">
    <w:name w:val="footer"/>
    <w:basedOn w:val="1"/>
    <w:link w:val="76"/>
    <w:uiPriority w:val="0"/>
    <w:pPr>
      <w:tabs>
        <w:tab w:val="center" w:pos="4153"/>
        <w:tab w:val="right" w:pos="8306"/>
      </w:tabs>
      <w:snapToGrid w:val="0"/>
      <w:jc w:val="left"/>
    </w:pPr>
    <w:rPr>
      <w:sz w:val="18"/>
    </w:rPr>
  </w:style>
  <w:style w:type="paragraph" w:styleId="29">
    <w:name w:val="header"/>
    <w:basedOn w:val="1"/>
    <w:link w:val="77"/>
    <w:uiPriority w:val="0"/>
    <w:pPr>
      <w:pBdr>
        <w:bottom w:val="single" w:color="auto" w:sz="6" w:space="1"/>
      </w:pBdr>
      <w:tabs>
        <w:tab w:val="center" w:pos="4153"/>
        <w:tab w:val="right" w:pos="8306"/>
      </w:tabs>
      <w:snapToGrid w:val="0"/>
      <w:jc w:val="center"/>
    </w:pPr>
    <w:rPr>
      <w:sz w:val="18"/>
    </w:rPr>
  </w:style>
  <w:style w:type="paragraph" w:styleId="30">
    <w:name w:val="toc 1"/>
    <w:basedOn w:val="1"/>
    <w:next w:val="1"/>
    <w:uiPriority w:val="39"/>
    <w:pPr>
      <w:spacing w:line="360" w:lineRule="auto"/>
      <w:jc w:val="left"/>
    </w:pPr>
    <w:rPr>
      <w:b/>
      <w:caps/>
      <w:sz w:val="30"/>
    </w:rPr>
  </w:style>
  <w:style w:type="paragraph" w:styleId="31">
    <w:name w:val="toc 4"/>
    <w:basedOn w:val="1"/>
    <w:next w:val="1"/>
    <w:uiPriority w:val="39"/>
    <w:pPr>
      <w:ind w:left="630"/>
      <w:jc w:val="left"/>
    </w:pPr>
    <w:rPr>
      <w:sz w:val="18"/>
    </w:rPr>
  </w:style>
  <w:style w:type="paragraph" w:styleId="32">
    <w:name w:val="toc 6"/>
    <w:basedOn w:val="1"/>
    <w:next w:val="1"/>
    <w:uiPriority w:val="39"/>
    <w:pPr>
      <w:ind w:left="1050"/>
      <w:jc w:val="left"/>
    </w:pPr>
    <w:rPr>
      <w:sz w:val="18"/>
    </w:rPr>
  </w:style>
  <w:style w:type="paragraph" w:styleId="33">
    <w:name w:val="Body Text Indent 3"/>
    <w:basedOn w:val="1"/>
    <w:link w:val="78"/>
    <w:uiPriority w:val="0"/>
    <w:pPr>
      <w:spacing w:after="120" w:afterLines="0" w:afterAutospacing="0"/>
      <w:ind w:left="420" w:leftChars="200"/>
    </w:pPr>
    <w:rPr>
      <w:sz w:val="16"/>
    </w:rPr>
  </w:style>
  <w:style w:type="paragraph" w:styleId="34">
    <w:name w:val="toc 2"/>
    <w:basedOn w:val="1"/>
    <w:next w:val="1"/>
    <w:uiPriority w:val="39"/>
    <w:pPr>
      <w:spacing w:line="360" w:lineRule="auto"/>
      <w:ind w:left="200" w:leftChars="200"/>
      <w:jc w:val="left"/>
    </w:pPr>
    <w:rPr>
      <w:smallCaps/>
      <w:sz w:val="28"/>
    </w:rPr>
  </w:style>
  <w:style w:type="paragraph" w:styleId="35">
    <w:name w:val="toc 9"/>
    <w:basedOn w:val="1"/>
    <w:next w:val="1"/>
    <w:uiPriority w:val="39"/>
    <w:pPr>
      <w:ind w:left="1680"/>
      <w:jc w:val="left"/>
    </w:pPr>
    <w:rPr>
      <w:sz w:val="18"/>
    </w:rPr>
  </w:style>
  <w:style w:type="paragraph" w:styleId="36">
    <w:name w:val="Body Text 2"/>
    <w:basedOn w:val="1"/>
    <w:link w:val="79"/>
    <w:uiPriority w:val="0"/>
    <w:pPr>
      <w:spacing w:after="120" w:line="480" w:lineRule="auto"/>
    </w:pPr>
  </w:style>
  <w:style w:type="paragraph" w:styleId="37">
    <w:name w:val="Normal (Web)"/>
    <w:basedOn w:val="1"/>
    <w:uiPriority w:val="99"/>
    <w:pPr>
      <w:widowControl/>
      <w:spacing w:before="100" w:beforeLines="0" w:beforeAutospacing="1" w:after="100" w:afterLines="0" w:afterAutospacing="1"/>
      <w:jc w:val="left"/>
    </w:pPr>
    <w:rPr>
      <w:rFonts w:ascii="宋体" w:hAnsi="宋体"/>
      <w:color w:val="000000"/>
      <w:kern w:val="0"/>
      <w:sz w:val="24"/>
    </w:rPr>
  </w:style>
  <w:style w:type="paragraph" w:styleId="38">
    <w:name w:val="index 1"/>
    <w:basedOn w:val="1"/>
    <w:next w:val="1"/>
    <w:uiPriority w:val="0"/>
  </w:style>
  <w:style w:type="paragraph" w:styleId="39">
    <w:name w:val="annotation subject"/>
    <w:basedOn w:val="20"/>
    <w:next w:val="20"/>
    <w:link w:val="80"/>
    <w:uiPriority w:val="0"/>
    <w:rPr>
      <w:b/>
      <w:bCs/>
      <w:sz w:val="21"/>
    </w:rPr>
  </w:style>
  <w:style w:type="paragraph" w:styleId="40">
    <w:name w:val="Body Text First Indent 2"/>
    <w:basedOn w:val="22"/>
    <w:link w:val="81"/>
    <w:uiPriority w:val="0"/>
    <w:pPr>
      <w:ind w:firstLine="420" w:firstLineChars="200"/>
    </w:pPr>
  </w:style>
  <w:style w:type="table" w:styleId="42">
    <w:name w:val="Table Grid"/>
    <w:basedOn w:val="41"/>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3">
    <w:name w:val="Table Theme"/>
    <w:basedOn w:val="41"/>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qFormat/>
    <w:uiPriority w:val="0"/>
    <w:rPr>
      <w:b/>
    </w:rPr>
  </w:style>
  <w:style w:type="character" w:styleId="46">
    <w:name w:val="page number"/>
    <w:basedOn w:val="44"/>
    <w:qFormat/>
    <w:uiPriority w:val="0"/>
  </w:style>
  <w:style w:type="character" w:styleId="47">
    <w:name w:val="FollowedHyperlink"/>
    <w:basedOn w:val="44"/>
    <w:qFormat/>
    <w:uiPriority w:val="0"/>
    <w:rPr>
      <w:color w:val="333333"/>
      <w:u w:val="none"/>
    </w:rPr>
  </w:style>
  <w:style w:type="character" w:styleId="48">
    <w:name w:val="Emphasis"/>
    <w:qFormat/>
    <w:uiPriority w:val="0"/>
    <w:rPr>
      <w:color w:val="CC0000"/>
    </w:rPr>
  </w:style>
  <w:style w:type="character" w:styleId="49">
    <w:name w:val="HTML Definition"/>
    <w:basedOn w:val="44"/>
    <w:qFormat/>
    <w:uiPriority w:val="0"/>
  </w:style>
  <w:style w:type="character" w:styleId="50">
    <w:name w:val="HTML Acronym"/>
    <w:basedOn w:val="44"/>
    <w:qFormat/>
    <w:uiPriority w:val="0"/>
  </w:style>
  <w:style w:type="character" w:styleId="51">
    <w:name w:val="HTML Variable"/>
    <w:basedOn w:val="44"/>
    <w:qFormat/>
    <w:uiPriority w:val="0"/>
  </w:style>
  <w:style w:type="character" w:styleId="52">
    <w:name w:val="Hyperlink"/>
    <w:basedOn w:val="44"/>
    <w:qFormat/>
    <w:uiPriority w:val="99"/>
    <w:rPr>
      <w:color w:val="333333"/>
      <w:u w:val="none"/>
    </w:rPr>
  </w:style>
  <w:style w:type="character" w:styleId="53">
    <w:name w:val="HTML Code"/>
    <w:basedOn w:val="44"/>
    <w:qFormat/>
    <w:uiPriority w:val="0"/>
    <w:rPr>
      <w:rFonts w:ascii="Courier New" w:hAnsi="Courier New"/>
      <w:sz w:val="20"/>
    </w:rPr>
  </w:style>
  <w:style w:type="character" w:styleId="54">
    <w:name w:val="annotation reference"/>
    <w:qFormat/>
    <w:uiPriority w:val="0"/>
    <w:rPr>
      <w:sz w:val="21"/>
    </w:rPr>
  </w:style>
  <w:style w:type="character" w:styleId="55">
    <w:name w:val="HTML Cite"/>
    <w:basedOn w:val="44"/>
    <w:qFormat/>
    <w:uiPriority w:val="0"/>
  </w:style>
  <w:style w:type="character" w:customStyle="1" w:styleId="56">
    <w:name w:val="正文文本 字符"/>
    <w:link w:val="2"/>
    <w:qFormat/>
    <w:uiPriority w:val="0"/>
    <w:rPr>
      <w:rFonts w:ascii="Times New Roman" w:hAnsi="Times New Roman" w:eastAsia="宋体"/>
      <w:kern w:val="2"/>
      <w:sz w:val="28"/>
    </w:rPr>
  </w:style>
  <w:style w:type="character" w:customStyle="1" w:styleId="57">
    <w:name w:val="日期 字符"/>
    <w:link w:val="3"/>
    <w:qFormat/>
    <w:uiPriority w:val="0"/>
    <w:rPr>
      <w:kern w:val="2"/>
      <w:sz w:val="21"/>
    </w:rPr>
  </w:style>
  <w:style w:type="character" w:customStyle="1" w:styleId="58">
    <w:name w:val="标题 1 字符"/>
    <w:link w:val="4"/>
    <w:qFormat/>
    <w:uiPriority w:val="0"/>
    <w:rPr>
      <w:rFonts w:ascii="Times New Roman" w:hAnsi="Times New Roman" w:eastAsia="宋体"/>
      <w:b/>
      <w:kern w:val="44"/>
      <w:sz w:val="36"/>
    </w:rPr>
  </w:style>
  <w:style w:type="character" w:customStyle="1" w:styleId="59">
    <w:name w:val="正文文本缩进 2 字符"/>
    <w:link w:val="5"/>
    <w:qFormat/>
    <w:uiPriority w:val="0"/>
    <w:rPr>
      <w:kern w:val="2"/>
      <w:sz w:val="21"/>
    </w:rPr>
  </w:style>
  <w:style w:type="character" w:customStyle="1" w:styleId="60">
    <w:name w:val="标题 2 字符"/>
    <w:link w:val="6"/>
    <w:qFormat/>
    <w:uiPriority w:val="0"/>
    <w:rPr>
      <w:rFonts w:ascii="Arial" w:hAnsi="Arial" w:eastAsia="黑体"/>
      <w:b/>
      <w:kern w:val="2"/>
      <w:sz w:val="32"/>
      <w:lang w:val="en-US" w:eastAsia="zh-CN" w:bidi="ar-SA"/>
    </w:rPr>
  </w:style>
  <w:style w:type="character" w:customStyle="1" w:styleId="61">
    <w:name w:val="标题 3 字符"/>
    <w:link w:val="7"/>
    <w:qFormat/>
    <w:uiPriority w:val="0"/>
    <w:rPr>
      <w:rFonts w:ascii="Times New Roman" w:hAnsi="Times New Roman" w:eastAsia="宋体"/>
      <w:b/>
      <w:kern w:val="2"/>
      <w:sz w:val="28"/>
    </w:rPr>
  </w:style>
  <w:style w:type="character" w:customStyle="1" w:styleId="62">
    <w:name w:val="标题 4 字符"/>
    <w:link w:val="8"/>
    <w:qFormat/>
    <w:uiPriority w:val="0"/>
    <w:rPr>
      <w:rFonts w:ascii="Arial" w:hAnsi="Arial" w:eastAsia="黑体"/>
      <w:b/>
      <w:kern w:val="2"/>
      <w:sz w:val="28"/>
    </w:rPr>
  </w:style>
  <w:style w:type="character" w:customStyle="1" w:styleId="63">
    <w:name w:val="标题 5 字符"/>
    <w:link w:val="9"/>
    <w:qFormat/>
    <w:uiPriority w:val="0"/>
    <w:rPr>
      <w:b/>
      <w:kern w:val="2"/>
      <w:sz w:val="28"/>
    </w:rPr>
  </w:style>
  <w:style w:type="character" w:customStyle="1" w:styleId="64">
    <w:name w:val="标题 6 字符"/>
    <w:link w:val="10"/>
    <w:qFormat/>
    <w:uiPriority w:val="0"/>
    <w:rPr>
      <w:rFonts w:ascii="Arial" w:hAnsi="Arial" w:eastAsia="黑体"/>
      <w:b/>
      <w:kern w:val="2"/>
      <w:sz w:val="24"/>
    </w:rPr>
  </w:style>
  <w:style w:type="character" w:customStyle="1" w:styleId="65">
    <w:name w:val="标题 7 字符"/>
    <w:link w:val="11"/>
    <w:qFormat/>
    <w:uiPriority w:val="0"/>
    <w:rPr>
      <w:b/>
      <w:kern w:val="2"/>
      <w:sz w:val="24"/>
    </w:rPr>
  </w:style>
  <w:style w:type="character" w:customStyle="1" w:styleId="66">
    <w:name w:val="标题 8 字符"/>
    <w:link w:val="12"/>
    <w:qFormat/>
    <w:uiPriority w:val="0"/>
    <w:rPr>
      <w:rFonts w:ascii="Arial" w:hAnsi="Arial" w:eastAsia="黑体"/>
      <w:kern w:val="2"/>
      <w:sz w:val="24"/>
    </w:rPr>
  </w:style>
  <w:style w:type="character" w:customStyle="1" w:styleId="67">
    <w:name w:val="标题 9 字符"/>
    <w:link w:val="13"/>
    <w:qFormat/>
    <w:uiPriority w:val="0"/>
    <w:rPr>
      <w:rFonts w:ascii="Arial" w:hAnsi="Arial" w:eastAsia="黑体"/>
      <w:kern w:val="2"/>
      <w:sz w:val="21"/>
    </w:rPr>
  </w:style>
  <w:style w:type="character" w:customStyle="1" w:styleId="68">
    <w:name w:val="正文缩进 字符"/>
    <w:link w:val="16"/>
    <w:qFormat/>
    <w:uiPriority w:val="0"/>
    <w:rPr>
      <w:rFonts w:eastAsia="宋体"/>
      <w:kern w:val="2"/>
      <w:sz w:val="21"/>
      <w:lang w:val="en-US" w:eastAsia="zh-CN" w:bidi="ar-SA"/>
    </w:rPr>
  </w:style>
  <w:style w:type="character" w:customStyle="1" w:styleId="69">
    <w:name w:val="文档结构图 字符"/>
    <w:link w:val="19"/>
    <w:qFormat/>
    <w:uiPriority w:val="0"/>
    <w:rPr>
      <w:kern w:val="2"/>
      <w:sz w:val="21"/>
      <w:shd w:val="clear" w:color="auto" w:fill="000080"/>
    </w:rPr>
  </w:style>
  <w:style w:type="character" w:customStyle="1" w:styleId="70">
    <w:name w:val="批注文字 字符"/>
    <w:link w:val="20"/>
    <w:qFormat/>
    <w:uiPriority w:val="0"/>
    <w:rPr>
      <w:kern w:val="2"/>
      <w:sz w:val="28"/>
    </w:rPr>
  </w:style>
  <w:style w:type="character" w:customStyle="1" w:styleId="71">
    <w:name w:val="正文文本 3 字符"/>
    <w:link w:val="21"/>
    <w:qFormat/>
    <w:uiPriority w:val="0"/>
    <w:rPr>
      <w:kern w:val="2"/>
      <w:sz w:val="16"/>
    </w:rPr>
  </w:style>
  <w:style w:type="character" w:customStyle="1" w:styleId="72">
    <w:name w:val="正文文本缩进 字符"/>
    <w:link w:val="22"/>
    <w:qFormat/>
    <w:uiPriority w:val="0"/>
    <w:rPr>
      <w:kern w:val="2"/>
      <w:sz w:val="21"/>
    </w:rPr>
  </w:style>
  <w:style w:type="character" w:customStyle="1" w:styleId="73">
    <w:name w:val="TOC 3 字符"/>
    <w:link w:val="24"/>
    <w:qFormat/>
    <w:uiPriority w:val="39"/>
    <w:rPr>
      <w:rFonts w:ascii="Times New Roman" w:hAnsi="Times New Roman" w:eastAsia="宋体"/>
      <w:b/>
      <w:sz w:val="28"/>
    </w:rPr>
  </w:style>
  <w:style w:type="character" w:customStyle="1" w:styleId="74">
    <w:name w:val="纯文本 字符"/>
    <w:link w:val="25"/>
    <w:qFormat/>
    <w:uiPriority w:val="0"/>
    <w:rPr>
      <w:rFonts w:ascii="Times New Roman" w:hAnsi="Times New Roman" w:eastAsia="宋体"/>
      <w:kern w:val="2"/>
      <w:sz w:val="24"/>
    </w:rPr>
  </w:style>
  <w:style w:type="character" w:customStyle="1" w:styleId="75">
    <w:name w:val="批注框文本 字符"/>
    <w:link w:val="27"/>
    <w:qFormat/>
    <w:uiPriority w:val="0"/>
    <w:rPr>
      <w:kern w:val="2"/>
      <w:sz w:val="18"/>
    </w:rPr>
  </w:style>
  <w:style w:type="character" w:customStyle="1" w:styleId="76">
    <w:name w:val="页脚 字符"/>
    <w:link w:val="28"/>
    <w:qFormat/>
    <w:uiPriority w:val="0"/>
    <w:rPr>
      <w:kern w:val="2"/>
      <w:sz w:val="18"/>
    </w:rPr>
  </w:style>
  <w:style w:type="character" w:customStyle="1" w:styleId="77">
    <w:name w:val="页眉 字符"/>
    <w:link w:val="29"/>
    <w:qFormat/>
    <w:uiPriority w:val="0"/>
    <w:rPr>
      <w:kern w:val="2"/>
      <w:sz w:val="18"/>
    </w:rPr>
  </w:style>
  <w:style w:type="character" w:customStyle="1" w:styleId="78">
    <w:name w:val="正文文本缩进 3 字符"/>
    <w:link w:val="33"/>
    <w:qFormat/>
    <w:uiPriority w:val="0"/>
    <w:rPr>
      <w:kern w:val="2"/>
      <w:sz w:val="16"/>
    </w:rPr>
  </w:style>
  <w:style w:type="character" w:customStyle="1" w:styleId="79">
    <w:name w:val="正文文本 2 字符"/>
    <w:link w:val="36"/>
    <w:qFormat/>
    <w:uiPriority w:val="0"/>
    <w:rPr>
      <w:kern w:val="2"/>
      <w:sz w:val="21"/>
    </w:rPr>
  </w:style>
  <w:style w:type="character" w:customStyle="1" w:styleId="80">
    <w:name w:val="批注主题 字符"/>
    <w:link w:val="39"/>
    <w:qFormat/>
    <w:uiPriority w:val="0"/>
    <w:rPr>
      <w:b/>
      <w:bCs/>
      <w:kern w:val="2"/>
      <w:sz w:val="21"/>
    </w:rPr>
  </w:style>
  <w:style w:type="character" w:customStyle="1" w:styleId="81">
    <w:name w:val="正文文本首行缩进 2 字符"/>
    <w:link w:val="40"/>
    <w:qFormat/>
    <w:uiPriority w:val="0"/>
    <w:rPr>
      <w:kern w:val="2"/>
      <w:sz w:val="21"/>
    </w:rPr>
  </w:style>
  <w:style w:type="character" w:customStyle="1" w:styleId="82">
    <w:name w:val="样式 样式 标题 2 + 段前: 1 行4 + 小四 段前: 0.5 行 段后: 0.5 行 Char Char Char"/>
    <w:link w:val="83"/>
    <w:qFormat/>
    <w:uiPriority w:val="0"/>
    <w:rPr>
      <w:rFonts w:eastAsia="宋体"/>
      <w:b/>
      <w:spacing w:val="2"/>
      <w:kern w:val="2"/>
      <w:sz w:val="28"/>
      <w:lang w:val="en-US" w:eastAsia="zh-CN" w:bidi="ar-SA"/>
    </w:rPr>
  </w:style>
  <w:style w:type="paragraph" w:customStyle="1" w:styleId="83">
    <w:name w:val="样式 样式 标题 2 + 段前: 1 行4 + 小四 段前: 0.5 行 段后: 0.5 行"/>
    <w:basedOn w:val="1"/>
    <w:link w:val="82"/>
    <w:qFormat/>
    <w:uiPriority w:val="0"/>
    <w:pPr>
      <w:keepNext/>
      <w:keepLines/>
      <w:numPr>
        <w:ilvl w:val="1"/>
        <w:numId w:val="3"/>
      </w:numPr>
      <w:adjustRightInd w:val="0"/>
      <w:spacing w:line="360" w:lineRule="auto"/>
      <w:textAlignment w:val="baseline"/>
      <w:outlineLvl w:val="1"/>
    </w:pPr>
    <w:rPr>
      <w:rFonts w:eastAsia="宋体"/>
      <w:b/>
      <w:spacing w:val="2"/>
      <w:kern w:val="2"/>
      <w:sz w:val="28"/>
      <w:lang w:val="en-US" w:eastAsia="zh-CN"/>
    </w:rPr>
  </w:style>
  <w:style w:type="character" w:customStyle="1" w:styleId="84">
    <w:name w:val="layui-this"/>
    <w:basedOn w:val="44"/>
    <w:qFormat/>
    <w:uiPriority w:val="0"/>
    <w:rPr>
      <w:bdr w:val="single" w:color="EEEEEE" w:sz="4" w:space="0"/>
      <w:shd w:val="clear" w:color="auto" w:fill="FFFFFF"/>
    </w:rPr>
  </w:style>
  <w:style w:type="character" w:customStyle="1" w:styleId="85">
    <w:name w:val="tj-正文 Char"/>
    <w:link w:val="86"/>
    <w:qFormat/>
    <w:uiPriority w:val="0"/>
    <w:rPr>
      <w:rFonts w:eastAsia="宋体"/>
      <w:kern w:val="2"/>
      <w:sz w:val="21"/>
      <w:szCs w:val="21"/>
      <w:lang w:val="en-US" w:eastAsia="zh-CN" w:bidi="ar-SA"/>
    </w:rPr>
  </w:style>
  <w:style w:type="paragraph" w:customStyle="1" w:styleId="86">
    <w:name w:val="tj-正文"/>
    <w:basedOn w:val="1"/>
    <w:link w:val="85"/>
    <w:qFormat/>
    <w:uiPriority w:val="0"/>
    <w:pPr>
      <w:spacing w:line="276" w:lineRule="auto"/>
      <w:ind w:firstLine="200" w:firstLineChars="200"/>
      <w:jc w:val="left"/>
    </w:pPr>
    <w:rPr>
      <w:szCs w:val="21"/>
    </w:rPr>
  </w:style>
  <w:style w:type="character" w:customStyle="1" w:styleId="87">
    <w:name w:val="font61"/>
    <w:basedOn w:val="44"/>
    <w:qFormat/>
    <w:uiPriority w:val="0"/>
    <w:rPr>
      <w:rFonts w:hint="eastAsia" w:ascii="宋体" w:hAnsi="宋体" w:eastAsia="宋体" w:cs="宋体"/>
      <w:color w:val="000000"/>
      <w:sz w:val="24"/>
      <w:szCs w:val="24"/>
      <w:u w:val="none"/>
    </w:rPr>
  </w:style>
  <w:style w:type="character" w:customStyle="1" w:styleId="88">
    <w:name w:val="hover25"/>
    <w:basedOn w:val="44"/>
    <w:qFormat/>
    <w:uiPriority w:val="0"/>
    <w:rPr>
      <w:color w:val="1258AD"/>
      <w:u w:val="none"/>
      <w:bdr w:val="single" w:color="198F21" w:sz="4" w:space="0"/>
    </w:rPr>
  </w:style>
  <w:style w:type="character" w:customStyle="1" w:styleId="89">
    <w:name w:val="font31"/>
    <w:qFormat/>
    <w:uiPriority w:val="0"/>
    <w:rPr>
      <w:rFonts w:hint="eastAsia" w:ascii="宋体" w:hAnsi="宋体" w:eastAsia="宋体" w:cs="宋体"/>
      <w:color w:val="000000"/>
      <w:sz w:val="24"/>
      <w:szCs w:val="24"/>
      <w:u w:val="none"/>
    </w:rPr>
  </w:style>
  <w:style w:type="character" w:customStyle="1" w:styleId="90">
    <w:name w:val="大林-正文 Char"/>
    <w:link w:val="91"/>
    <w:qFormat/>
    <w:uiPriority w:val="0"/>
    <w:rPr>
      <w:rFonts w:eastAsia="宋体"/>
      <w:kern w:val="2"/>
      <w:sz w:val="24"/>
      <w:szCs w:val="24"/>
      <w:lang w:val="en-US" w:eastAsia="zh-CN" w:bidi="ar-SA"/>
    </w:rPr>
  </w:style>
  <w:style w:type="paragraph" w:customStyle="1" w:styleId="91">
    <w:name w:val="大林-正文"/>
    <w:basedOn w:val="1"/>
    <w:link w:val="90"/>
    <w:qFormat/>
    <w:uiPriority w:val="0"/>
    <w:pPr>
      <w:spacing w:line="360" w:lineRule="auto"/>
      <w:ind w:left="840" w:leftChars="400"/>
    </w:pPr>
    <w:rPr>
      <w:sz w:val="24"/>
      <w:szCs w:val="24"/>
    </w:rPr>
  </w:style>
  <w:style w:type="character" w:customStyle="1" w:styleId="92">
    <w:name w:val="apple-converted-space"/>
    <w:basedOn w:val="44"/>
    <w:qFormat/>
    <w:uiPriority w:val="0"/>
  </w:style>
  <w:style w:type="character" w:customStyle="1" w:styleId="93">
    <w:name w:val="Body text|2 + Times New Roman"/>
    <w:unhideWhenUsed/>
    <w:qFormat/>
    <w:uiPriority w:val="0"/>
    <w:rPr>
      <w:rFonts w:ascii="Times New Roman" w:hAnsi="Times New Roman" w:eastAsia="Times New Roman" w:cs="Times New Roman"/>
      <w:b/>
      <w:bCs/>
      <w:color w:val="000000"/>
      <w:spacing w:val="0"/>
      <w:w w:val="100"/>
      <w:position w:val="0"/>
      <w:sz w:val="17"/>
      <w:szCs w:val="17"/>
      <w:u w:val="none"/>
      <w:lang w:val="en-US" w:eastAsia="en-US" w:bidi="en-US"/>
    </w:rPr>
  </w:style>
  <w:style w:type="character" w:customStyle="1" w:styleId="94">
    <w:name w:val="font122"/>
    <w:qFormat/>
    <w:uiPriority w:val="0"/>
    <w:rPr>
      <w:rFonts w:hint="default" w:ascii="Times New Roman" w:hAnsi="Times New Roman" w:cs="Times New Roman"/>
      <w:color w:val="000000"/>
      <w:sz w:val="20"/>
      <w:szCs w:val="20"/>
      <w:u w:val="none"/>
    </w:rPr>
  </w:style>
  <w:style w:type="character" w:customStyle="1" w:styleId="95">
    <w:name w:val="样式 样式 小四 左 首行缩进:  2 字符 + 首行缩进:  2 字符 Char Char Char Char"/>
    <w:link w:val="96"/>
    <w:qFormat/>
    <w:uiPriority w:val="0"/>
    <w:rPr>
      <w:rFonts w:eastAsia="宋体"/>
      <w:kern w:val="2"/>
      <w:sz w:val="28"/>
      <w:lang w:val="en-US" w:eastAsia="zh-CN" w:bidi="ar-SA"/>
    </w:rPr>
  </w:style>
  <w:style w:type="paragraph" w:customStyle="1" w:styleId="96">
    <w:name w:val="样式 样式 小四 左 首行缩进:  2 字符 + 首行缩进:  2 字符 Char Char Char"/>
    <w:basedOn w:val="97"/>
    <w:link w:val="95"/>
    <w:qFormat/>
    <w:uiPriority w:val="0"/>
    <w:pPr>
      <w:numPr>
        <w:ilvl w:val="3"/>
        <w:numId w:val="4"/>
      </w:numPr>
      <w:tabs>
        <w:tab w:val="left" w:pos="964"/>
      </w:tabs>
    </w:pPr>
    <w:rPr>
      <w:rFonts w:eastAsia="宋体"/>
      <w:kern w:val="2"/>
      <w:sz w:val="28"/>
      <w:lang w:val="en-US" w:eastAsia="zh-CN"/>
    </w:rPr>
  </w:style>
  <w:style w:type="paragraph" w:customStyle="1" w:styleId="97">
    <w:name w:val="样式 小四 左 首行缩进:  2 字符"/>
    <w:basedOn w:val="1"/>
    <w:qFormat/>
    <w:uiPriority w:val="0"/>
    <w:pPr>
      <w:numPr>
        <w:ilvl w:val="3"/>
        <w:numId w:val="5"/>
      </w:numPr>
      <w:adjustRightInd w:val="0"/>
      <w:spacing w:line="360" w:lineRule="auto"/>
      <w:ind w:rightChars="-20"/>
      <w:jc w:val="left"/>
      <w:textAlignment w:val="baseline"/>
    </w:pPr>
    <w:rPr>
      <w:sz w:val="28"/>
    </w:rPr>
  </w:style>
  <w:style w:type="character" w:customStyle="1" w:styleId="98">
    <w:name w:val="样式 正文文本 + 首行缩进:  2 字符 Char Char"/>
    <w:link w:val="99"/>
    <w:qFormat/>
    <w:uiPriority w:val="0"/>
    <w:rPr>
      <w:rFonts w:eastAsia="宋体"/>
      <w:b/>
      <w:color w:val="339966"/>
      <w:spacing w:val="20"/>
      <w:w w:val="101"/>
      <w:position w:val="-3"/>
      <w:sz w:val="24"/>
      <w:szCs w:val="24"/>
      <w:lang w:val="en-US" w:eastAsia="zh-CN" w:bidi="ar-SA"/>
    </w:rPr>
  </w:style>
  <w:style w:type="paragraph" w:customStyle="1" w:styleId="99">
    <w:name w:val="样式 正文文本 + 首行缩进:  2 字符"/>
    <w:basedOn w:val="2"/>
    <w:link w:val="98"/>
    <w:qFormat/>
    <w:uiPriority w:val="0"/>
    <w:pPr>
      <w:tabs>
        <w:tab w:val="left" w:pos="2448"/>
      </w:tabs>
      <w:adjustRightInd w:val="0"/>
      <w:snapToGrid w:val="0"/>
      <w:spacing w:after="0" w:line="600" w:lineRule="atLeast"/>
      <w:ind w:firstLine="552" w:firstLineChars="195"/>
    </w:pPr>
    <w:rPr>
      <w:b/>
      <w:color w:val="339966"/>
      <w:spacing w:val="20"/>
      <w:w w:val="101"/>
      <w:kern w:val="0"/>
      <w:position w:val="-3"/>
      <w:sz w:val="24"/>
      <w:szCs w:val="24"/>
    </w:rPr>
  </w:style>
  <w:style w:type="character" w:customStyle="1" w:styleId="100">
    <w:name w:val="cucd Char Char"/>
    <w:link w:val="101"/>
    <w:qFormat/>
    <w:uiPriority w:val="0"/>
    <w:rPr>
      <w:rFonts w:eastAsia="宋体"/>
      <w:kern w:val="2"/>
      <w:sz w:val="28"/>
      <w:szCs w:val="28"/>
      <w:lang w:val="en-US" w:eastAsia="zh-CN" w:bidi="ar-SA"/>
    </w:rPr>
  </w:style>
  <w:style w:type="paragraph" w:customStyle="1" w:styleId="101">
    <w:name w:val="cucd"/>
    <w:basedOn w:val="1"/>
    <w:link w:val="100"/>
    <w:qFormat/>
    <w:uiPriority w:val="0"/>
    <w:pPr>
      <w:spacing w:line="360" w:lineRule="auto"/>
      <w:ind w:firstLine="560" w:firstLineChars="200"/>
    </w:pPr>
    <w:rPr>
      <w:sz w:val="28"/>
      <w:szCs w:val="28"/>
    </w:rPr>
  </w:style>
  <w:style w:type="character" w:customStyle="1" w:styleId="102">
    <w:name w:val="font41"/>
    <w:qFormat/>
    <w:uiPriority w:val="0"/>
    <w:rPr>
      <w:rFonts w:hint="eastAsia" w:ascii="宋体" w:hAnsi="宋体" w:eastAsia="宋体" w:cs="宋体"/>
      <w:color w:val="000000"/>
      <w:sz w:val="24"/>
      <w:szCs w:val="24"/>
      <w:u w:val="none"/>
    </w:rPr>
  </w:style>
  <w:style w:type="character" w:customStyle="1" w:styleId="103">
    <w:name w:val="样式 样式 小四 左 首行缩进:  2 字符 + 首行缩进:  2 字符 Char Char Char Char Char Char"/>
    <w:link w:val="104"/>
    <w:qFormat/>
    <w:uiPriority w:val="0"/>
    <w:rPr>
      <w:rFonts w:eastAsia="宋体"/>
      <w:kern w:val="2"/>
      <w:sz w:val="28"/>
      <w:lang w:val="en-US" w:eastAsia="zh-CN" w:bidi="ar-SA"/>
    </w:rPr>
  </w:style>
  <w:style w:type="paragraph" w:customStyle="1" w:styleId="104">
    <w:name w:val="样式 样式 小四 左 首行缩进:  2 字符 + 首行缩进:  2 字符 Char Char Char Char Char"/>
    <w:basedOn w:val="97"/>
    <w:link w:val="103"/>
    <w:qFormat/>
    <w:uiPriority w:val="0"/>
    <w:rPr>
      <w:rFonts w:eastAsia="宋体"/>
      <w:kern w:val="2"/>
      <w:sz w:val="28"/>
      <w:lang w:val="en-US" w:eastAsia="zh-CN"/>
    </w:rPr>
  </w:style>
  <w:style w:type="character" w:customStyle="1" w:styleId="105">
    <w:name w:val="font01"/>
    <w:basedOn w:val="44"/>
    <w:qFormat/>
    <w:uiPriority w:val="0"/>
    <w:rPr>
      <w:rFonts w:hint="eastAsia" w:ascii="宋体" w:hAnsi="宋体" w:eastAsia="宋体" w:cs="宋体"/>
      <w:color w:val="000000"/>
      <w:sz w:val="24"/>
      <w:szCs w:val="24"/>
      <w:u w:val="none"/>
      <w:vertAlign w:val="superscript"/>
    </w:rPr>
  </w:style>
  <w:style w:type="character" w:customStyle="1" w:styleId="106">
    <w:name w:val="font121"/>
    <w:basedOn w:val="44"/>
    <w:qFormat/>
    <w:uiPriority w:val="0"/>
    <w:rPr>
      <w:rFonts w:hint="eastAsia" w:ascii="宋体" w:hAnsi="宋体" w:eastAsia="宋体" w:cs="宋体"/>
      <w:b/>
      <w:color w:val="000000"/>
      <w:sz w:val="20"/>
      <w:szCs w:val="20"/>
      <w:u w:val="none"/>
    </w:rPr>
  </w:style>
  <w:style w:type="character" w:customStyle="1" w:styleId="107">
    <w:name w:val="font112"/>
    <w:basedOn w:val="44"/>
    <w:qFormat/>
    <w:uiPriority w:val="0"/>
    <w:rPr>
      <w:rFonts w:hint="default" w:ascii="Times New Roman" w:hAnsi="Times New Roman" w:cs="Times New Roman"/>
      <w:color w:val="000000"/>
      <w:sz w:val="20"/>
      <w:szCs w:val="20"/>
      <w:u w:val="none"/>
    </w:rPr>
  </w:style>
  <w:style w:type="character" w:customStyle="1" w:styleId="108">
    <w:name w:val="font91"/>
    <w:qFormat/>
    <w:uiPriority w:val="0"/>
    <w:rPr>
      <w:rFonts w:hint="eastAsia" w:ascii="宋体" w:hAnsi="宋体" w:eastAsia="宋体" w:cs="宋体"/>
      <w:color w:val="000000"/>
      <w:sz w:val="24"/>
      <w:szCs w:val="24"/>
      <w:u w:val="none"/>
      <w:vertAlign w:val="superscript"/>
    </w:rPr>
  </w:style>
  <w:style w:type="character" w:customStyle="1" w:styleId="109">
    <w:name w:val="font71"/>
    <w:qFormat/>
    <w:uiPriority w:val="0"/>
    <w:rPr>
      <w:rFonts w:ascii="PMingLiU" w:hAnsi="PMingLiU" w:eastAsia="PMingLiU" w:cs="PMingLiU"/>
      <w:color w:val="000000"/>
      <w:sz w:val="20"/>
      <w:szCs w:val="20"/>
      <w:u w:val="none"/>
      <w:vertAlign w:val="superscript"/>
    </w:rPr>
  </w:style>
  <w:style w:type="character" w:customStyle="1" w:styleId="110">
    <w:name w:val="postbody1"/>
    <w:qFormat/>
    <w:uiPriority w:val="0"/>
    <w:rPr>
      <w:sz w:val="28"/>
    </w:rPr>
  </w:style>
  <w:style w:type="character" w:customStyle="1" w:styleId="111">
    <w:name w:val="Body text|2_"/>
    <w:link w:val="112"/>
    <w:qFormat/>
    <w:uiPriority w:val="0"/>
    <w:rPr>
      <w:rFonts w:ascii="PMingLiU" w:hAnsi="PMingLiU" w:eastAsia="PMingLiU" w:cs="PMingLiU"/>
      <w:sz w:val="17"/>
      <w:szCs w:val="17"/>
      <w:u w:val="none"/>
    </w:rPr>
  </w:style>
  <w:style w:type="paragraph" w:customStyle="1" w:styleId="112">
    <w:name w:val="Body text|2"/>
    <w:basedOn w:val="1"/>
    <w:link w:val="111"/>
    <w:qFormat/>
    <w:uiPriority w:val="0"/>
    <w:pPr>
      <w:widowControl w:val="0"/>
      <w:shd w:val="clear" w:color="auto" w:fill="FFFFFF"/>
      <w:spacing w:after="320" w:line="170" w:lineRule="exact"/>
      <w:jc w:val="distribute"/>
    </w:pPr>
    <w:rPr>
      <w:rFonts w:ascii="PMingLiU" w:hAnsi="PMingLiU" w:eastAsia="PMingLiU" w:cs="PMingLiU"/>
      <w:sz w:val="17"/>
      <w:szCs w:val="17"/>
      <w:u w:val="none"/>
    </w:rPr>
  </w:style>
  <w:style w:type="character" w:customStyle="1" w:styleId="113">
    <w:name w:val="font11"/>
    <w:qFormat/>
    <w:uiPriority w:val="0"/>
    <w:rPr>
      <w:rFonts w:hint="default" w:ascii="Times New Roman" w:hAnsi="Times New Roman" w:cs="Times New Roman"/>
      <w:color w:val="000000"/>
      <w:sz w:val="24"/>
      <w:szCs w:val="24"/>
      <w:u w:val="none"/>
    </w:rPr>
  </w:style>
  <w:style w:type="character" w:customStyle="1" w:styleId="114">
    <w:name w:val="font101"/>
    <w:qFormat/>
    <w:uiPriority w:val="0"/>
    <w:rPr>
      <w:rFonts w:hint="eastAsia" w:ascii="宋体" w:hAnsi="宋体" w:eastAsia="宋体" w:cs="宋体"/>
      <w:color w:val="000000"/>
      <w:sz w:val="20"/>
      <w:szCs w:val="20"/>
      <w:u w:val="none"/>
    </w:rPr>
  </w:style>
  <w:style w:type="character" w:customStyle="1" w:styleId="115">
    <w:name w:val="font21"/>
    <w:qFormat/>
    <w:uiPriority w:val="0"/>
    <w:rPr>
      <w:rFonts w:hint="eastAsia" w:ascii="宋体" w:hAnsi="宋体" w:eastAsia="宋体" w:cs="宋体"/>
      <w:color w:val="000000"/>
      <w:sz w:val="24"/>
      <w:szCs w:val="24"/>
      <w:u w:val="none"/>
    </w:rPr>
  </w:style>
  <w:style w:type="character" w:customStyle="1" w:styleId="116">
    <w:name w:val="Body text|2 + 8 pt1"/>
    <w:unhideWhenUsed/>
    <w:qFormat/>
    <w:uiPriority w:val="0"/>
    <w:rPr>
      <w:rFonts w:ascii="PMingLiU" w:hAnsi="PMingLiU" w:eastAsia="PMingLiU" w:cs="PMingLiU"/>
      <w:color w:val="000000"/>
      <w:spacing w:val="0"/>
      <w:w w:val="100"/>
      <w:position w:val="0"/>
      <w:sz w:val="16"/>
      <w:szCs w:val="16"/>
      <w:u w:val="none"/>
      <w:lang w:val="zh-CN" w:eastAsia="zh-CN" w:bidi="zh-CN"/>
    </w:rPr>
  </w:style>
  <w:style w:type="character" w:customStyle="1" w:styleId="117">
    <w:name w:val="font131"/>
    <w:basedOn w:val="44"/>
    <w:qFormat/>
    <w:uiPriority w:val="0"/>
    <w:rPr>
      <w:rFonts w:hint="default" w:ascii="Times New Roman" w:hAnsi="Times New Roman" w:cs="Times New Roman"/>
      <w:color w:val="000000"/>
      <w:sz w:val="20"/>
      <w:szCs w:val="20"/>
      <w:u w:val="none"/>
    </w:rPr>
  </w:style>
  <w:style w:type="character" w:customStyle="1" w:styleId="118">
    <w:name w:val="first-child"/>
    <w:basedOn w:val="44"/>
    <w:qFormat/>
    <w:uiPriority w:val="0"/>
  </w:style>
  <w:style w:type="character" w:customStyle="1" w:styleId="119">
    <w:name w:val="样式4 Char"/>
    <w:link w:val="120"/>
    <w:qFormat/>
    <w:uiPriority w:val="0"/>
    <w:rPr>
      <w:rFonts w:eastAsia="宋体"/>
      <w:kern w:val="2"/>
      <w:sz w:val="24"/>
      <w:szCs w:val="24"/>
      <w:lang w:val="en-US" w:eastAsia="zh-CN" w:bidi="ar-SA"/>
    </w:rPr>
  </w:style>
  <w:style w:type="paragraph" w:customStyle="1" w:styleId="120">
    <w:name w:val="样式4"/>
    <w:basedOn w:val="1"/>
    <w:link w:val="119"/>
    <w:qFormat/>
    <w:uiPriority w:val="0"/>
    <w:pPr>
      <w:spacing w:line="360" w:lineRule="auto"/>
      <w:ind w:firstLine="200" w:firstLineChars="200"/>
      <w:jc w:val="left"/>
    </w:pPr>
    <w:rPr>
      <w:sz w:val="24"/>
      <w:szCs w:val="24"/>
    </w:rPr>
  </w:style>
  <w:style w:type="character" w:customStyle="1" w:styleId="121">
    <w:name w:val="样式 样式 标题 2 + 段前: 1 行4 + 小四 段前: 0.5 行 段后: 0.5 行 Char Char"/>
    <w:qFormat/>
    <w:uiPriority w:val="0"/>
    <w:rPr>
      <w:rFonts w:eastAsia="宋体"/>
      <w:b/>
      <w:spacing w:val="2"/>
      <w:kern w:val="2"/>
      <w:sz w:val="32"/>
      <w:lang w:val="en-US" w:eastAsia="zh-CN"/>
    </w:rPr>
  </w:style>
  <w:style w:type="character" w:customStyle="1" w:styleId="122">
    <w:name w:val="font81"/>
    <w:qFormat/>
    <w:uiPriority w:val="0"/>
    <w:rPr>
      <w:rFonts w:hint="eastAsia" w:ascii="宋体" w:hAnsi="宋体" w:eastAsia="宋体" w:cs="宋体"/>
      <w:color w:val="000000"/>
      <w:sz w:val="22"/>
      <w:szCs w:val="22"/>
      <w:u w:val="none"/>
      <w:vertAlign w:val="superscript"/>
    </w:rPr>
  </w:style>
  <w:style w:type="character" w:customStyle="1" w:styleId="123">
    <w:name w:val="正文缩进 Char1"/>
    <w:qFormat/>
    <w:uiPriority w:val="0"/>
    <w:rPr>
      <w:rFonts w:eastAsia="宋体"/>
      <w:kern w:val="2"/>
      <w:sz w:val="21"/>
      <w:lang w:val="en-US" w:eastAsia="zh-CN" w:bidi="ar-SA"/>
    </w:rPr>
  </w:style>
  <w:style w:type="character" w:customStyle="1" w:styleId="124">
    <w:name w:val="font111"/>
    <w:qFormat/>
    <w:uiPriority w:val="0"/>
    <w:rPr>
      <w:rFonts w:hint="default" w:ascii="Times New Roman" w:hAnsi="Times New Roman" w:cs="Times New Roman"/>
      <w:color w:val="000000"/>
      <w:sz w:val="20"/>
      <w:szCs w:val="20"/>
      <w:u w:val="none"/>
    </w:rPr>
  </w:style>
  <w:style w:type="character" w:customStyle="1" w:styleId="125">
    <w:name w:val="font51"/>
    <w:basedOn w:val="44"/>
    <w:qFormat/>
    <w:uiPriority w:val="0"/>
    <w:rPr>
      <w:rFonts w:hint="default" w:ascii="仿宋_GB2312" w:eastAsia="仿宋_GB2312" w:cs="仿宋_GB2312"/>
      <w:color w:val="000000"/>
      <w:sz w:val="22"/>
      <w:szCs w:val="22"/>
      <w:u w:val="none"/>
    </w:rPr>
  </w:style>
  <w:style w:type="character" w:customStyle="1" w:styleId="126">
    <w:name w:val="Body text|2 + 9 pt"/>
    <w:unhideWhenUsed/>
    <w:qFormat/>
    <w:uiPriority w:val="0"/>
    <w:rPr>
      <w:rFonts w:ascii="PMingLiU" w:hAnsi="PMingLiU" w:eastAsia="PMingLiU" w:cs="PMingLiU"/>
      <w:color w:val="000000"/>
      <w:spacing w:val="0"/>
      <w:w w:val="100"/>
      <w:position w:val="0"/>
      <w:sz w:val="18"/>
      <w:szCs w:val="18"/>
      <w:u w:val="none"/>
      <w:lang w:val="en-US" w:eastAsia="en-US" w:bidi="en-US"/>
    </w:rPr>
  </w:style>
  <w:style w:type="character" w:customStyle="1" w:styleId="127">
    <w:name w:val="WPSOffice手动目录 3 Char"/>
    <w:link w:val="128"/>
    <w:qFormat/>
    <w:uiPriority w:val="0"/>
    <w:rPr>
      <w:sz w:val="20"/>
      <w:szCs w:val="20"/>
    </w:rPr>
  </w:style>
  <w:style w:type="paragraph" w:customStyle="1" w:styleId="128">
    <w:name w:val="WPSOffice手动目录 3"/>
    <w:link w:val="127"/>
    <w:qFormat/>
    <w:uiPriority w:val="0"/>
    <w:pPr>
      <w:ind w:leftChars="400"/>
    </w:pPr>
    <w:rPr>
      <w:rFonts w:ascii="Calibri" w:hAnsi="Calibri" w:eastAsia="宋体" w:cs="Times New Roman"/>
      <w:lang w:val="en-US" w:eastAsia="zh-CN" w:bidi="ar-SA"/>
    </w:rPr>
  </w:style>
  <w:style w:type="character" w:customStyle="1" w:styleId="129">
    <w:name w:val="正文2 Char1"/>
    <w:link w:val="130"/>
    <w:qFormat/>
    <w:uiPriority w:val="0"/>
    <w:rPr>
      <w:rFonts w:ascii="宋体" w:eastAsia="宋体" w:cs="宋体"/>
      <w:sz w:val="30"/>
      <w:szCs w:val="30"/>
      <w:lang w:val="zh-CN" w:eastAsia="zh-CN" w:bidi="ar-SA"/>
    </w:rPr>
  </w:style>
  <w:style w:type="paragraph" w:customStyle="1" w:styleId="130">
    <w:name w:val="正文2"/>
    <w:basedOn w:val="1"/>
    <w:link w:val="129"/>
    <w:qFormat/>
    <w:uiPriority w:val="0"/>
    <w:pPr>
      <w:spacing w:before="156" w:beforeLines="50"/>
      <w:ind w:firstLine="555"/>
    </w:pPr>
    <w:rPr>
      <w:rFonts w:ascii="宋体" w:cs="宋体"/>
      <w:kern w:val="0"/>
      <w:sz w:val="30"/>
      <w:szCs w:val="30"/>
      <w:lang w:val="zh-CN"/>
    </w:rPr>
  </w:style>
  <w:style w:type="character" w:customStyle="1" w:styleId="131">
    <w:name w:val="样式 标题 4 + 行距: 1.5 倍行距 Char"/>
    <w:link w:val="132"/>
    <w:qFormat/>
    <w:uiPriority w:val="0"/>
    <w:rPr>
      <w:rFonts w:eastAsia="宋体"/>
      <w:b/>
      <w:kern w:val="2"/>
      <w:sz w:val="28"/>
      <w:lang w:val="en-US" w:eastAsia="zh-CN"/>
    </w:rPr>
  </w:style>
  <w:style w:type="paragraph" w:customStyle="1" w:styleId="132">
    <w:name w:val="样式 标题 4 + 行距: 1.5 倍行距"/>
    <w:basedOn w:val="8"/>
    <w:link w:val="131"/>
    <w:qFormat/>
    <w:uiPriority w:val="0"/>
    <w:pPr>
      <w:numPr>
        <w:ilvl w:val="0"/>
        <w:numId w:val="0"/>
      </w:numPr>
      <w:tabs>
        <w:tab w:val="left" w:pos="964"/>
        <w:tab w:val="clear" w:pos="0"/>
      </w:tabs>
      <w:adjustRightInd w:val="0"/>
      <w:spacing w:before="0" w:beforeLines="0" w:beforeAutospacing="0" w:after="0" w:afterLines="0" w:afterAutospacing="0" w:line="360" w:lineRule="auto"/>
      <w:ind w:left="964" w:hanging="964"/>
      <w:textAlignment w:val="baseline"/>
    </w:pPr>
    <w:rPr>
      <w:rFonts w:eastAsia="宋体"/>
      <w:kern w:val="2"/>
      <w:sz w:val="28"/>
      <w:lang w:val="en-US" w:eastAsia="zh-CN"/>
    </w:rPr>
  </w:style>
  <w:style w:type="paragraph" w:customStyle="1" w:styleId="133">
    <w:name w:val="表格题"/>
    <w:basedOn w:val="16"/>
    <w:qFormat/>
    <w:uiPriority w:val="0"/>
    <w:pPr>
      <w:tabs>
        <w:tab w:val="left" w:pos="307"/>
      </w:tabs>
      <w:spacing w:line="20" w:lineRule="atLeast"/>
      <w:ind w:left="307" w:hanging="194" w:firstLineChars="0"/>
    </w:pPr>
    <w:rPr>
      <w:rFonts w:ascii="宋体" w:hAnsi="宋体"/>
    </w:rPr>
  </w:style>
  <w:style w:type="paragraph" w:customStyle="1" w:styleId="134">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4"/>
      <w:szCs w:val="24"/>
    </w:rPr>
  </w:style>
  <w:style w:type="paragraph" w:customStyle="1" w:styleId="135">
    <w:name w:val="xl141"/>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136">
    <w:name w:val="xl17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color w:val="FF0000"/>
      <w:kern w:val="0"/>
      <w:sz w:val="20"/>
    </w:rPr>
  </w:style>
  <w:style w:type="paragraph" w:customStyle="1" w:styleId="137">
    <w:name w:val="xl8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FF0000"/>
      <w:kern w:val="0"/>
      <w:sz w:val="20"/>
    </w:rPr>
  </w:style>
  <w:style w:type="paragraph" w:customStyle="1" w:styleId="138">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rPr>
  </w:style>
  <w:style w:type="paragraph" w:customStyle="1" w:styleId="139">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140">
    <w:name w:val="xl136"/>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41">
    <w:name w:val="xl177"/>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color w:val="FF0000"/>
      <w:kern w:val="0"/>
      <w:sz w:val="20"/>
    </w:rPr>
  </w:style>
  <w:style w:type="paragraph" w:customStyle="1" w:styleId="142">
    <w:name w:val="xl167"/>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43">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144">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rPr>
  </w:style>
  <w:style w:type="paragraph" w:customStyle="1" w:styleId="145">
    <w:name w:val="xl7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rPr>
  </w:style>
  <w:style w:type="paragraph" w:customStyle="1" w:styleId="146">
    <w:name w:val="p0"/>
    <w:basedOn w:val="1"/>
    <w:qFormat/>
    <w:uiPriority w:val="0"/>
    <w:pPr>
      <w:widowControl/>
      <w:jc w:val="left"/>
    </w:pPr>
    <w:rPr>
      <w:kern w:val="0"/>
      <w:sz w:val="20"/>
    </w:rPr>
  </w:style>
  <w:style w:type="paragraph" w:customStyle="1" w:styleId="147">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szCs w:val="24"/>
    </w:rPr>
  </w:style>
  <w:style w:type="paragraph" w:customStyle="1" w:styleId="148">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4"/>
      <w:szCs w:val="24"/>
    </w:rPr>
  </w:style>
  <w:style w:type="paragraph" w:customStyle="1" w:styleId="149">
    <w:name w:val="xl16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kern w:val="0"/>
      <w:sz w:val="20"/>
    </w:rPr>
  </w:style>
  <w:style w:type="paragraph" w:customStyle="1" w:styleId="150">
    <w:name w:val="xl151"/>
    <w:basedOn w:val="1"/>
    <w:qFormat/>
    <w:uiPriority w:val="0"/>
    <w:pPr>
      <w:widowControl/>
      <w:pBdr>
        <w:top w:val="single" w:color="auto" w:sz="4" w:space="0"/>
        <w:right w:val="single" w:color="auto" w:sz="4" w:space="0"/>
      </w:pBdr>
      <w:spacing w:before="100" w:beforeAutospacing="1" w:after="100" w:afterAutospacing="1"/>
      <w:jc w:val="center"/>
    </w:pPr>
    <w:rPr>
      <w:rFonts w:ascii="宋体" w:hAnsi="宋体" w:cs="宋体"/>
      <w:color w:val="000000"/>
      <w:kern w:val="0"/>
      <w:sz w:val="20"/>
    </w:rPr>
  </w:style>
  <w:style w:type="paragraph" w:customStyle="1" w:styleId="151">
    <w:name w:val="xl17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color w:val="FF00FF"/>
      <w:kern w:val="0"/>
      <w:sz w:val="20"/>
    </w:rPr>
  </w:style>
  <w:style w:type="paragraph" w:customStyle="1" w:styleId="152">
    <w:name w:val="xl29"/>
    <w:basedOn w:val="1"/>
    <w:qFormat/>
    <w:uiPriority w:val="0"/>
    <w:pPr>
      <w:widowControl/>
      <w:pBdr>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ascii="Arial Unicode MS" w:hAnsi="Arial Unicode MS" w:eastAsia="Arial Unicode MS"/>
      <w:kern w:val="0"/>
      <w:sz w:val="24"/>
    </w:rPr>
  </w:style>
  <w:style w:type="paragraph" w:customStyle="1" w:styleId="153">
    <w:name w:val="xl16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FF"/>
      <w:kern w:val="0"/>
      <w:sz w:val="20"/>
    </w:rPr>
  </w:style>
  <w:style w:type="paragraph" w:customStyle="1" w:styleId="154">
    <w:name w:val="xl18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rPr>
  </w:style>
  <w:style w:type="paragraph" w:customStyle="1" w:styleId="155">
    <w:name w:val="xl1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rPr>
  </w:style>
  <w:style w:type="paragraph" w:customStyle="1" w:styleId="15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rPr>
  </w:style>
  <w:style w:type="paragraph" w:customStyle="1" w:styleId="157">
    <w:name w:val="Heading #3|1"/>
    <w:basedOn w:val="1"/>
    <w:qFormat/>
    <w:uiPriority w:val="0"/>
    <w:pPr>
      <w:widowControl w:val="0"/>
      <w:shd w:val="clear" w:color="auto" w:fill="FFFFFF"/>
      <w:spacing w:after="420" w:line="190" w:lineRule="exact"/>
      <w:outlineLvl w:val="2"/>
    </w:pPr>
    <w:rPr>
      <w:rFonts w:ascii="PMingLiU" w:hAnsi="PMingLiU" w:eastAsia="PMingLiU" w:cs="PMingLiU"/>
      <w:b/>
      <w:bCs/>
      <w:sz w:val="19"/>
      <w:szCs w:val="19"/>
      <w:u w:val="none"/>
    </w:rPr>
  </w:style>
  <w:style w:type="paragraph" w:customStyle="1" w:styleId="158">
    <w:name w:val="xl10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rPr>
  </w:style>
  <w:style w:type="paragraph" w:customStyle="1" w:styleId="159">
    <w:name w:val="Biao00"/>
    <w:qFormat/>
    <w:uiPriority w:val="0"/>
    <w:pPr>
      <w:widowControl w:val="0"/>
      <w:spacing w:line="0" w:lineRule="atLeast"/>
      <w:jc w:val="center"/>
    </w:pPr>
    <w:rPr>
      <w:rFonts w:ascii="Arial" w:hAnsi="Arial" w:eastAsia="仿宋_GB2312" w:cs="Times New Roman"/>
      <w:w w:val="90"/>
      <w:kern w:val="18"/>
      <w:sz w:val="24"/>
      <w:lang w:val="en-US" w:eastAsia="zh-CN" w:bidi="ar-SA"/>
    </w:rPr>
  </w:style>
  <w:style w:type="paragraph" w:customStyle="1" w:styleId="160">
    <w:name w:val="xl25"/>
    <w:basedOn w:val="1"/>
    <w:qFormat/>
    <w:uiPriority w:val="0"/>
    <w:pPr>
      <w:widowControl/>
      <w:pBdr>
        <w:bottom w:val="single" w:color="auto" w:sz="8" w:space="0"/>
        <w:right w:val="single" w:color="auto" w:sz="8" w:space="0"/>
      </w:pBdr>
      <w:spacing w:before="100" w:beforeLines="0" w:beforeAutospacing="1" w:after="100" w:afterLines="0" w:afterAutospacing="1"/>
      <w:jc w:val="center"/>
    </w:pPr>
    <w:rPr>
      <w:rFonts w:ascii="宋体" w:hAnsi="宋体"/>
      <w:color w:val="0000FF"/>
      <w:kern w:val="0"/>
      <w:sz w:val="24"/>
    </w:rPr>
  </w:style>
  <w:style w:type="paragraph" w:customStyle="1" w:styleId="161">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cs="宋体"/>
      <w:kern w:val="0"/>
      <w:sz w:val="20"/>
    </w:rPr>
  </w:style>
  <w:style w:type="paragraph" w:customStyle="1" w:styleId="162">
    <w:name w:val="xl1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rPr>
  </w:style>
  <w:style w:type="paragraph" w:customStyle="1" w:styleId="163">
    <w:name w:val="xl172"/>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FF"/>
      <w:kern w:val="0"/>
      <w:sz w:val="24"/>
      <w:szCs w:val="24"/>
    </w:rPr>
  </w:style>
  <w:style w:type="paragraph" w:customStyle="1" w:styleId="16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rPr>
  </w:style>
  <w:style w:type="paragraph" w:customStyle="1" w:styleId="165">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rPr>
  </w:style>
  <w:style w:type="paragraph" w:customStyle="1" w:styleId="166">
    <w:name w:val="xl190"/>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color w:val="FF0000"/>
      <w:kern w:val="0"/>
      <w:sz w:val="20"/>
    </w:rPr>
  </w:style>
  <w:style w:type="paragraph" w:customStyle="1" w:styleId="167">
    <w:name w:val="xl145"/>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color w:val="000000"/>
      <w:kern w:val="0"/>
      <w:sz w:val="20"/>
    </w:rPr>
  </w:style>
  <w:style w:type="paragraph" w:customStyle="1" w:styleId="168">
    <w:name w:val="xl1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FF"/>
      <w:kern w:val="0"/>
      <w:sz w:val="20"/>
    </w:rPr>
  </w:style>
  <w:style w:type="paragraph" w:customStyle="1" w:styleId="169">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rPr>
  </w:style>
  <w:style w:type="paragraph" w:customStyle="1" w:styleId="170">
    <w:name w:val="xl1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FF"/>
      <w:kern w:val="0"/>
      <w:sz w:val="20"/>
    </w:rPr>
  </w:style>
  <w:style w:type="paragraph" w:customStyle="1" w:styleId="171">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72">
    <w:name w:val="xl100"/>
    <w:basedOn w:val="1"/>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sz w:val="20"/>
    </w:rPr>
  </w:style>
  <w:style w:type="paragraph" w:customStyle="1" w:styleId="173">
    <w:name w:val="样式 标题 3 + 段前: 0.5 行 段后: 0.5 行5"/>
    <w:basedOn w:val="7"/>
    <w:uiPriority w:val="0"/>
    <w:pPr>
      <w:numPr>
        <w:ilvl w:val="0"/>
        <w:numId w:val="0"/>
      </w:numPr>
      <w:tabs>
        <w:tab w:val="left" w:pos="720"/>
      </w:tabs>
      <w:adjustRightInd w:val="0"/>
      <w:spacing w:before="0" w:beforeLines="0" w:beforeAutospacing="0" w:after="0" w:afterLines="0" w:afterAutospacing="0" w:line="360" w:lineRule="auto"/>
      <w:ind w:left="720" w:hanging="720"/>
      <w:textAlignment w:val="baseline"/>
      <w:outlineLvl w:val="1"/>
    </w:pPr>
    <w:rPr>
      <w:kern w:val="0"/>
    </w:rPr>
  </w:style>
  <w:style w:type="paragraph" w:customStyle="1" w:styleId="174">
    <w:name w:val="xl144"/>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color w:val="000000"/>
      <w:kern w:val="0"/>
      <w:sz w:val="20"/>
    </w:rPr>
  </w:style>
  <w:style w:type="paragraph" w:customStyle="1" w:styleId="175">
    <w:name w:val="xl11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rPr>
  </w:style>
  <w:style w:type="paragraph" w:customStyle="1" w:styleId="176">
    <w:name w:val="样式 标题 4 + 行距: 单倍行距"/>
    <w:basedOn w:val="8"/>
    <w:qFormat/>
    <w:uiPriority w:val="0"/>
    <w:pPr>
      <w:numPr>
        <w:ilvl w:val="0"/>
        <w:numId w:val="6"/>
      </w:numPr>
      <w:tabs>
        <w:tab w:val="left" w:pos="1680"/>
        <w:tab w:val="clear" w:pos="425"/>
        <w:tab w:val="clear" w:pos="0"/>
      </w:tabs>
      <w:adjustRightInd w:val="0"/>
      <w:spacing w:before="0" w:after="0" w:line="240" w:lineRule="auto"/>
      <w:ind w:left="1680" w:hanging="420"/>
      <w:textAlignment w:val="baseline"/>
    </w:pPr>
    <w:rPr>
      <w:rFonts w:eastAsia="宋体"/>
      <w:sz w:val="24"/>
    </w:rPr>
  </w:style>
  <w:style w:type="paragraph" w:customStyle="1" w:styleId="177">
    <w:name w:val="xl87"/>
    <w:basedOn w:val="1"/>
    <w:uiPriority w:val="0"/>
    <w:pPr>
      <w:widowControl/>
      <w:pBdr>
        <w:left w:val="single" w:color="auto" w:sz="4" w:space="0"/>
        <w:right w:val="single" w:color="auto" w:sz="4" w:space="0"/>
      </w:pBdr>
      <w:spacing w:before="100" w:beforeAutospacing="1" w:after="100" w:afterAutospacing="1"/>
      <w:jc w:val="center"/>
    </w:pPr>
    <w:rPr>
      <w:rFonts w:ascii="宋体" w:hAnsi="宋体" w:cs="宋体"/>
      <w:color w:val="FF0000"/>
      <w:kern w:val="0"/>
      <w:sz w:val="20"/>
    </w:rPr>
  </w:style>
  <w:style w:type="paragraph" w:customStyle="1" w:styleId="178">
    <w:name w:val="font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79">
    <w:name w:val="xl12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top"/>
    </w:pPr>
    <w:rPr>
      <w:rFonts w:ascii="宋体" w:hAnsi="宋体" w:cs="宋体"/>
      <w:kern w:val="0"/>
      <w:sz w:val="20"/>
    </w:rPr>
  </w:style>
  <w:style w:type="paragraph" w:customStyle="1" w:styleId="180">
    <w:name w:val="xl19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color w:val="FF0000"/>
      <w:kern w:val="0"/>
      <w:sz w:val="20"/>
    </w:rPr>
  </w:style>
  <w:style w:type="paragraph" w:customStyle="1" w:styleId="181">
    <w:name w:val="WPSOffice手动目录 1"/>
    <w:qFormat/>
    <w:uiPriority w:val="0"/>
    <w:rPr>
      <w:rFonts w:ascii="Calibri" w:hAnsi="Calibri" w:eastAsia="宋体" w:cs="Times New Roman"/>
      <w:lang w:val="en-US" w:eastAsia="zh-CN" w:bidi="ar-SA"/>
    </w:rPr>
  </w:style>
  <w:style w:type="paragraph" w:customStyle="1" w:styleId="182">
    <w:name w:val="Char Char Char Char Char Char Char"/>
    <w:basedOn w:val="1"/>
    <w:next w:val="4"/>
    <w:qFormat/>
    <w:uiPriority w:val="0"/>
    <w:pPr>
      <w:jc w:val="left"/>
    </w:pPr>
  </w:style>
  <w:style w:type="paragraph" w:customStyle="1" w:styleId="183">
    <w:name w:val="xl22"/>
    <w:basedOn w:val="1"/>
    <w:qFormat/>
    <w:uiPriority w:val="0"/>
    <w:pPr>
      <w:widowControl/>
      <w:spacing w:before="100" w:beforeLines="0" w:beforeAutospacing="1" w:after="100" w:afterLines="0" w:afterAutospacing="1"/>
      <w:jc w:val="center"/>
    </w:pPr>
    <w:rPr>
      <w:rFonts w:hint="eastAsia" w:ascii="宋体" w:hAnsi="宋体"/>
      <w:kern w:val="0"/>
      <w:sz w:val="24"/>
    </w:rPr>
  </w:style>
  <w:style w:type="paragraph" w:customStyle="1" w:styleId="184">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rPr>
  </w:style>
  <w:style w:type="paragraph" w:customStyle="1" w:styleId="185">
    <w:name w:val="xl183"/>
    <w:basedOn w:val="1"/>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FF0000"/>
      <w:kern w:val="0"/>
      <w:sz w:val="20"/>
    </w:rPr>
  </w:style>
  <w:style w:type="paragraph" w:customStyle="1" w:styleId="186">
    <w:name w:val="xl7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187">
    <w:name w:val="xl159"/>
    <w:basedOn w:val="1"/>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FF"/>
      <w:kern w:val="0"/>
      <w:sz w:val="20"/>
    </w:rPr>
  </w:style>
  <w:style w:type="paragraph" w:customStyle="1" w:styleId="188">
    <w:name w:val="xl124"/>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189">
    <w:name w:val="xl104"/>
    <w:basedOn w:val="1"/>
    <w:uiPriority w:val="0"/>
    <w:pPr>
      <w:widowControl/>
      <w:pBdr>
        <w:left w:val="single" w:color="auto" w:sz="4" w:space="0"/>
        <w:right w:val="single" w:color="auto" w:sz="4" w:space="0"/>
      </w:pBdr>
      <w:spacing w:before="100" w:beforeAutospacing="1" w:after="100" w:afterAutospacing="1"/>
      <w:jc w:val="center"/>
    </w:pPr>
    <w:rPr>
      <w:rFonts w:ascii="宋体" w:hAnsi="宋体" w:cs="宋体"/>
      <w:color w:val="FF0000"/>
      <w:kern w:val="0"/>
      <w:sz w:val="20"/>
    </w:rPr>
  </w:style>
  <w:style w:type="paragraph" w:customStyle="1" w:styleId="190">
    <w:name w:val="xl149"/>
    <w:basedOn w:val="1"/>
    <w:uiPriority w:val="0"/>
    <w:pPr>
      <w:widowControl/>
      <w:pBdr>
        <w:left w:val="single" w:color="auto" w:sz="4" w:space="0"/>
        <w:right w:val="single" w:color="auto" w:sz="4" w:space="0"/>
      </w:pBdr>
      <w:spacing w:before="100" w:beforeAutospacing="1" w:after="100" w:afterAutospacing="1"/>
      <w:jc w:val="center"/>
    </w:pPr>
    <w:rPr>
      <w:rFonts w:ascii="宋体" w:hAnsi="宋体" w:cs="宋体"/>
      <w:color w:val="000000"/>
      <w:kern w:val="0"/>
      <w:sz w:val="20"/>
    </w:rPr>
  </w:style>
  <w:style w:type="paragraph" w:customStyle="1" w:styleId="191">
    <w:name w:val="_Style 19"/>
    <w:basedOn w:val="1"/>
    <w:next w:val="1"/>
    <w:qFormat/>
    <w:uiPriority w:val="0"/>
    <w:rPr>
      <w:rFonts w:hint="eastAsia"/>
      <w:sz w:val="24"/>
    </w:rPr>
  </w:style>
  <w:style w:type="paragraph" w:customStyle="1" w:styleId="192">
    <w:name w:val="xl178"/>
    <w:basedOn w:val="1"/>
    <w:uiPriority w:val="0"/>
    <w:pPr>
      <w:widowControl/>
      <w:pBdr>
        <w:top w:val="single" w:color="auto" w:sz="4" w:space="0"/>
        <w:left w:val="single" w:color="auto" w:sz="4" w:space="0"/>
      </w:pBdr>
      <w:spacing w:before="100" w:beforeAutospacing="1" w:after="100" w:afterAutospacing="1"/>
      <w:jc w:val="center"/>
    </w:pPr>
    <w:rPr>
      <w:rFonts w:ascii="宋体" w:hAnsi="宋体" w:cs="宋体"/>
      <w:color w:val="000000"/>
      <w:kern w:val="0"/>
      <w:sz w:val="20"/>
    </w:rPr>
  </w:style>
  <w:style w:type="paragraph" w:customStyle="1" w:styleId="193">
    <w:name w:val="xl138"/>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194">
    <w:name w:val="xl129"/>
    <w:basedOn w:val="1"/>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rPr>
  </w:style>
  <w:style w:type="paragraph" w:customStyle="1" w:styleId="195">
    <w:name w:val="样式 正文文本缩进 + 段后: 2.5 磅 行距: 固定值 25 磅"/>
    <w:basedOn w:val="22"/>
    <w:qFormat/>
    <w:uiPriority w:val="0"/>
    <w:pPr>
      <w:tabs>
        <w:tab w:val="left" w:pos="420"/>
      </w:tabs>
      <w:spacing w:after="0" w:line="500" w:lineRule="exact"/>
      <w:ind w:left="0" w:leftChars="0" w:firstLine="200" w:firstLineChars="200"/>
    </w:pPr>
    <w:rPr>
      <w:rFonts w:ascii="宋体" w:hAnsi="宋体" w:cs="宋体"/>
      <w:spacing w:val="2"/>
      <w:kern w:val="10"/>
      <w:sz w:val="28"/>
    </w:rPr>
  </w:style>
  <w:style w:type="paragraph" w:customStyle="1" w:styleId="196">
    <w:name w:val="Body text|4"/>
    <w:basedOn w:val="1"/>
    <w:qFormat/>
    <w:uiPriority w:val="0"/>
    <w:pPr>
      <w:widowControl w:val="0"/>
      <w:shd w:val="clear" w:color="auto" w:fill="FFFFFF"/>
      <w:spacing w:before="3740" w:after="340" w:line="190" w:lineRule="exact"/>
      <w:jc w:val="center"/>
    </w:pPr>
    <w:rPr>
      <w:rFonts w:ascii="PMingLiU" w:hAnsi="PMingLiU" w:eastAsia="PMingLiU" w:cs="PMingLiU"/>
      <w:b/>
      <w:bCs/>
      <w:sz w:val="19"/>
      <w:szCs w:val="19"/>
      <w:u w:val="none"/>
    </w:rPr>
  </w:style>
  <w:style w:type="paragraph" w:customStyle="1" w:styleId="197">
    <w:name w:val="xl19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rPr>
  </w:style>
  <w:style w:type="paragraph" w:customStyle="1" w:styleId="198">
    <w:name w:val="xl150"/>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cs="宋体"/>
      <w:color w:val="000000"/>
      <w:kern w:val="0"/>
      <w:sz w:val="20"/>
    </w:rPr>
  </w:style>
  <w:style w:type="paragraph" w:customStyle="1" w:styleId="199">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0"/>
    </w:rPr>
  </w:style>
  <w:style w:type="paragraph" w:customStyle="1" w:styleId="200">
    <w:name w:val="样式 标题 2 + 小四 段前: 15.6 磅"/>
    <w:basedOn w:val="6"/>
    <w:qFormat/>
    <w:uiPriority w:val="0"/>
    <w:pPr>
      <w:numPr>
        <w:ilvl w:val="1"/>
        <w:numId w:val="5"/>
      </w:numPr>
      <w:adjustRightInd w:val="0"/>
      <w:spacing w:before="0" w:after="0" w:line="360" w:lineRule="auto"/>
      <w:textAlignment w:val="baseline"/>
    </w:pPr>
    <w:rPr>
      <w:sz w:val="24"/>
    </w:rPr>
  </w:style>
  <w:style w:type="paragraph" w:customStyle="1" w:styleId="201">
    <w:name w:val="1"/>
    <w:basedOn w:val="1"/>
    <w:next w:val="33"/>
    <w:uiPriority w:val="0"/>
    <w:pPr>
      <w:ind w:firstLine="570"/>
    </w:pPr>
    <w:rPr>
      <w:sz w:val="28"/>
    </w:rPr>
  </w:style>
  <w:style w:type="paragraph" w:customStyle="1" w:styleId="202">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203">
    <w:name w:val="xl155"/>
    <w:basedOn w:val="1"/>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204">
    <w:name w:val="xl152"/>
    <w:basedOn w:val="1"/>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rPr>
  </w:style>
  <w:style w:type="paragraph" w:customStyle="1" w:styleId="205">
    <w:name w:val="font5"/>
    <w:basedOn w:val="1"/>
    <w:qFormat/>
    <w:uiPriority w:val="0"/>
    <w:pPr>
      <w:widowControl/>
      <w:spacing w:before="100" w:beforeLines="0" w:beforeAutospacing="1" w:after="100" w:afterLines="0" w:afterAutospacing="1"/>
      <w:jc w:val="left"/>
    </w:pPr>
    <w:rPr>
      <w:rFonts w:ascii="宋体" w:hAnsi="宋体"/>
      <w:color w:val="0000FF"/>
      <w:kern w:val="0"/>
      <w:sz w:val="24"/>
    </w:rPr>
  </w:style>
  <w:style w:type="paragraph" w:customStyle="1" w:styleId="206">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rPr>
  </w:style>
  <w:style w:type="paragraph" w:customStyle="1" w:styleId="207">
    <w:name w:val="xl28"/>
    <w:basedOn w:val="1"/>
    <w:qFormat/>
    <w:uiPriority w:val="0"/>
    <w:pPr>
      <w:widowControl/>
      <w:pBdr>
        <w:right w:val="single" w:color="auto" w:sz="8" w:space="0"/>
      </w:pBdr>
      <w:spacing w:before="100" w:beforeLines="0" w:beforeAutospacing="1" w:after="100" w:afterLines="0" w:afterAutospacing="1"/>
      <w:jc w:val="center"/>
    </w:pPr>
    <w:rPr>
      <w:color w:val="0000FF"/>
      <w:kern w:val="0"/>
      <w:sz w:val="24"/>
    </w:rPr>
  </w:style>
  <w:style w:type="paragraph" w:customStyle="1" w:styleId="208">
    <w:name w:val="正文文字"/>
    <w:basedOn w:val="1"/>
    <w:qFormat/>
    <w:uiPriority w:val="0"/>
    <w:pPr>
      <w:spacing w:line="520" w:lineRule="exact"/>
      <w:ind w:firstLine="200" w:firstLineChars="200"/>
    </w:pPr>
    <w:rPr>
      <w:rFonts w:cs="宋体"/>
      <w:sz w:val="28"/>
    </w:rPr>
  </w:style>
  <w:style w:type="paragraph" w:customStyle="1" w:styleId="209">
    <w:name w:val="xl9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rPr>
  </w:style>
  <w:style w:type="paragraph" w:customStyle="1" w:styleId="210">
    <w:name w:val="xl18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FF0000"/>
      <w:kern w:val="0"/>
      <w:sz w:val="20"/>
    </w:rPr>
  </w:style>
  <w:style w:type="paragraph" w:customStyle="1" w:styleId="211">
    <w:name w:val="xl148"/>
    <w:basedOn w:val="1"/>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sz w:val="20"/>
    </w:rPr>
  </w:style>
  <w:style w:type="paragraph" w:customStyle="1" w:styleId="212">
    <w:name w:val="xl98"/>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color w:val="000000"/>
      <w:kern w:val="0"/>
      <w:sz w:val="20"/>
    </w:rPr>
  </w:style>
  <w:style w:type="paragraph" w:customStyle="1" w:styleId="213">
    <w:name w:val="xl194"/>
    <w:basedOn w:val="1"/>
    <w:uiPriority w:val="0"/>
    <w:pPr>
      <w:widowControl/>
      <w:pBdr>
        <w:left w:val="single" w:color="auto" w:sz="4" w:space="0"/>
        <w:bottom w:val="single" w:color="auto" w:sz="4" w:space="0"/>
      </w:pBdr>
      <w:spacing w:before="100" w:beforeAutospacing="1" w:after="100" w:afterAutospacing="1"/>
      <w:jc w:val="center"/>
    </w:pPr>
    <w:rPr>
      <w:rFonts w:ascii="宋体" w:hAnsi="宋体" w:cs="宋体"/>
      <w:kern w:val="0"/>
      <w:sz w:val="20"/>
    </w:rPr>
  </w:style>
  <w:style w:type="paragraph" w:customStyle="1" w:styleId="214">
    <w:name w:val="xl11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0"/>
    </w:rPr>
  </w:style>
  <w:style w:type="paragraph" w:customStyle="1" w:styleId="215">
    <w:name w:val="xl12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216">
    <w:name w:val="font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17">
    <w:name w:val="样式"/>
    <w:qFormat/>
    <w:uiPriority w:val="0"/>
    <w:pPr>
      <w:widowControl w:val="0"/>
      <w:autoSpaceDE w:val="0"/>
      <w:autoSpaceDN w:val="0"/>
      <w:adjustRightInd w:val="0"/>
    </w:pPr>
    <w:rPr>
      <w:rFonts w:ascii="宋体" w:hAnsi="Calibri" w:eastAsia="宋体" w:cs="宋体"/>
      <w:sz w:val="24"/>
      <w:szCs w:val="24"/>
      <w:lang w:val="en-US" w:eastAsia="zh-CN" w:bidi="ar-SA"/>
    </w:rPr>
  </w:style>
  <w:style w:type="paragraph" w:customStyle="1" w:styleId="218">
    <w:name w:val="xl184"/>
    <w:basedOn w:val="1"/>
    <w:qFormat/>
    <w:uiPriority w:val="0"/>
    <w:pPr>
      <w:widowControl/>
      <w:pBdr>
        <w:left w:val="single" w:color="auto" w:sz="4" w:space="0"/>
        <w:bottom w:val="single" w:color="auto" w:sz="4" w:space="0"/>
      </w:pBdr>
      <w:spacing w:before="100" w:beforeAutospacing="1" w:after="100" w:afterAutospacing="1"/>
      <w:jc w:val="center"/>
    </w:pPr>
    <w:rPr>
      <w:rFonts w:ascii="宋体" w:hAnsi="宋体" w:cs="宋体"/>
      <w:color w:val="000000"/>
      <w:kern w:val="0"/>
      <w:sz w:val="20"/>
    </w:rPr>
  </w:style>
  <w:style w:type="paragraph" w:customStyle="1" w:styleId="219">
    <w:name w:val="font7"/>
    <w:basedOn w:val="1"/>
    <w:uiPriority w:val="0"/>
    <w:pPr>
      <w:widowControl/>
      <w:spacing w:before="100" w:beforeAutospacing="1" w:after="100" w:afterAutospacing="1"/>
      <w:jc w:val="left"/>
    </w:pPr>
    <w:rPr>
      <w:rFonts w:ascii="宋体" w:hAnsi="宋体" w:cs="宋体"/>
      <w:kern w:val="0"/>
      <w:sz w:val="18"/>
      <w:szCs w:val="18"/>
    </w:rPr>
  </w:style>
  <w:style w:type="paragraph" w:customStyle="1" w:styleId="220">
    <w:name w:val="xl15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rPr>
  </w:style>
  <w:style w:type="paragraph" w:customStyle="1" w:styleId="221">
    <w:name w:val="xl6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222">
    <w:name w:val="xl81"/>
    <w:basedOn w:val="1"/>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223">
    <w:name w:val="xl12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FF0000"/>
      <w:kern w:val="0"/>
      <w:sz w:val="20"/>
    </w:rPr>
  </w:style>
  <w:style w:type="paragraph" w:customStyle="1" w:styleId="22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225">
    <w:name w:val="Heading #4|1"/>
    <w:basedOn w:val="1"/>
    <w:qFormat/>
    <w:uiPriority w:val="0"/>
    <w:pPr>
      <w:widowControl w:val="0"/>
      <w:shd w:val="clear" w:color="auto" w:fill="FFFFFF"/>
      <w:spacing w:before="460" w:line="603" w:lineRule="exact"/>
      <w:outlineLvl w:val="3"/>
    </w:pPr>
    <w:rPr>
      <w:rFonts w:ascii="PMingLiU" w:hAnsi="PMingLiU" w:eastAsia="PMingLiU" w:cs="PMingLiU"/>
      <w:b/>
      <w:bCs/>
      <w:sz w:val="19"/>
      <w:szCs w:val="19"/>
      <w:u w:val="none"/>
    </w:rPr>
  </w:style>
  <w:style w:type="paragraph" w:customStyle="1" w:styleId="226">
    <w:name w:val="xl18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0"/>
    </w:rPr>
  </w:style>
  <w:style w:type="paragraph" w:customStyle="1" w:styleId="227">
    <w:name w:val="xl24"/>
    <w:basedOn w:val="1"/>
    <w:qFormat/>
    <w:uiPriority w:val="0"/>
    <w:pPr>
      <w:widowControl/>
      <w:pBdr>
        <w:left w:val="single" w:color="auto" w:sz="8" w:space="0"/>
        <w:bottom w:val="single" w:color="auto" w:sz="8" w:space="0"/>
        <w:right w:val="single" w:color="auto" w:sz="8" w:space="0"/>
      </w:pBdr>
      <w:spacing w:before="100" w:beforeLines="0" w:beforeAutospacing="1" w:after="100" w:afterLines="0" w:afterAutospacing="1"/>
      <w:jc w:val="center"/>
    </w:pPr>
    <w:rPr>
      <w:rFonts w:ascii="宋体" w:hAnsi="宋体"/>
      <w:color w:val="0000FF"/>
      <w:kern w:val="0"/>
      <w:sz w:val="24"/>
    </w:rPr>
  </w:style>
  <w:style w:type="paragraph" w:customStyle="1" w:styleId="228">
    <w:name w:val="xl1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rPr>
  </w:style>
  <w:style w:type="paragraph" w:customStyle="1" w:styleId="229">
    <w:name w:val="Picture caption|1"/>
    <w:basedOn w:val="1"/>
    <w:qFormat/>
    <w:uiPriority w:val="0"/>
    <w:pPr>
      <w:widowControl w:val="0"/>
      <w:shd w:val="clear" w:color="auto" w:fill="FFFFFF"/>
      <w:spacing w:line="160" w:lineRule="exact"/>
    </w:pPr>
    <w:rPr>
      <w:rFonts w:ascii="PMingLiU" w:hAnsi="PMingLiU" w:eastAsia="PMingLiU" w:cs="PMingLiU"/>
      <w:sz w:val="16"/>
      <w:szCs w:val="16"/>
      <w:u w:val="none"/>
    </w:rPr>
  </w:style>
  <w:style w:type="paragraph" w:customStyle="1" w:styleId="230">
    <w:name w:val="xl1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231">
    <w:name w:val="WPSOffice手动目录 2"/>
    <w:qFormat/>
    <w:uiPriority w:val="0"/>
    <w:pPr>
      <w:ind w:leftChars="200"/>
    </w:pPr>
    <w:rPr>
      <w:rFonts w:ascii="Calibri" w:hAnsi="Calibri" w:eastAsia="宋体" w:cs="Times New Roman"/>
      <w:lang w:val="en-US" w:eastAsia="zh-CN" w:bidi="ar-SA"/>
    </w:rPr>
  </w:style>
  <w:style w:type="paragraph" w:customStyle="1" w:styleId="232">
    <w:name w:val="xl72"/>
    <w:basedOn w:val="1"/>
    <w:uiPriority w:val="0"/>
    <w:pPr>
      <w:widowControl/>
      <w:pBdr>
        <w:top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233">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rPr>
  </w:style>
  <w:style w:type="paragraph" w:customStyle="1" w:styleId="234">
    <w:name w:val="2"/>
    <w:basedOn w:val="1"/>
    <w:next w:val="1"/>
    <w:qFormat/>
    <w:uiPriority w:val="0"/>
    <w:pPr>
      <w:widowControl/>
      <w:spacing w:before="100" w:beforeLines="0" w:beforeAutospacing="1" w:after="100" w:afterLines="0" w:afterAutospacing="1"/>
      <w:jc w:val="left"/>
    </w:pPr>
    <w:rPr>
      <w:rFonts w:hint="eastAsia" w:hAnsi="宋体"/>
      <w:kern w:val="0"/>
      <w:sz w:val="24"/>
    </w:rPr>
  </w:style>
  <w:style w:type="paragraph" w:customStyle="1" w:styleId="235">
    <w:name w:val="xl79"/>
    <w:basedOn w:val="1"/>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236">
    <w:name w:val=" Char"/>
    <w:basedOn w:val="1"/>
    <w:qFormat/>
    <w:uiPriority w:val="0"/>
    <w:pPr>
      <w:spacing w:line="500" w:lineRule="atLeast"/>
      <w:ind w:firstLine="561"/>
    </w:pPr>
    <w:rPr>
      <w:rFonts w:ascii="Tahoma" w:hAnsi="Tahoma"/>
      <w:sz w:val="24"/>
    </w:rPr>
  </w:style>
  <w:style w:type="paragraph" w:customStyle="1" w:styleId="237">
    <w:name w:val="xl10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4"/>
      <w:szCs w:val="24"/>
    </w:rPr>
  </w:style>
  <w:style w:type="paragraph" w:customStyle="1" w:styleId="238">
    <w:name w:val="样式 标题 1 + 段前: 2 行 段后: 1 行3"/>
    <w:basedOn w:val="4"/>
    <w:qFormat/>
    <w:uiPriority w:val="0"/>
    <w:pPr>
      <w:numPr>
        <w:ilvl w:val="2"/>
        <w:numId w:val="6"/>
      </w:numPr>
      <w:tabs>
        <w:tab w:val="left" w:pos="425"/>
        <w:tab w:val="clear" w:pos="567"/>
      </w:tabs>
      <w:spacing w:beforeLines="0" w:afterLines="0"/>
      <w:ind w:left="425" w:hanging="425"/>
    </w:pPr>
    <w:rPr>
      <w:sz w:val="32"/>
    </w:rPr>
  </w:style>
  <w:style w:type="paragraph" w:customStyle="1" w:styleId="23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240">
    <w:name w:val="xl14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微软雅黑" w:hAnsi="宋体" w:eastAsia="微软雅黑" w:cs="宋体"/>
      <w:kern w:val="0"/>
      <w:sz w:val="20"/>
    </w:rPr>
  </w:style>
  <w:style w:type="paragraph" w:customStyle="1" w:styleId="241">
    <w:name w:val="xl30"/>
    <w:basedOn w:val="1"/>
    <w:qFormat/>
    <w:uiPriority w:val="0"/>
    <w:pPr>
      <w:widowControl/>
      <w:pBdr>
        <w:left w:val="single" w:color="auto" w:sz="8" w:space="0"/>
        <w:bottom w:val="single" w:color="auto" w:sz="8" w:space="0"/>
        <w:right w:val="single" w:color="auto" w:sz="8" w:space="0"/>
      </w:pBdr>
      <w:spacing w:before="100" w:beforeLines="0" w:beforeAutospacing="1" w:after="100" w:afterLines="0" w:afterAutospacing="1"/>
      <w:jc w:val="center"/>
    </w:pPr>
    <w:rPr>
      <w:color w:val="0000FF"/>
      <w:kern w:val="0"/>
      <w:sz w:val="24"/>
    </w:rPr>
  </w:style>
  <w:style w:type="paragraph" w:customStyle="1" w:styleId="242">
    <w:name w:val="font6"/>
    <w:basedOn w:val="1"/>
    <w:qFormat/>
    <w:uiPriority w:val="0"/>
    <w:pPr>
      <w:widowControl/>
      <w:spacing w:before="100" w:beforeLines="0" w:beforeAutospacing="1" w:after="100" w:afterLines="0" w:afterAutospacing="1"/>
      <w:jc w:val="left"/>
    </w:pPr>
    <w:rPr>
      <w:color w:val="0000FF"/>
      <w:kern w:val="0"/>
      <w:sz w:val="24"/>
    </w:rPr>
  </w:style>
  <w:style w:type="paragraph" w:customStyle="1" w:styleId="24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244">
    <w:name w:val="正文 房山"/>
    <w:basedOn w:val="1"/>
    <w:uiPriority w:val="0"/>
    <w:pPr>
      <w:spacing w:before="100" w:beforeLines="0" w:beforeAutospacing="0" w:after="100" w:afterLines="0" w:afterAutospacing="0" w:line="360" w:lineRule="auto"/>
      <w:ind w:rightChars="1634" w:firstLine="480" w:firstLineChars="200"/>
    </w:pPr>
    <w:rPr>
      <w:sz w:val="24"/>
    </w:rPr>
  </w:style>
  <w:style w:type="paragraph" w:customStyle="1" w:styleId="245">
    <w:name w:val="xl27"/>
    <w:basedOn w:val="1"/>
    <w:uiPriority w:val="0"/>
    <w:pPr>
      <w:widowControl/>
      <w:pBdr>
        <w:top w:val="single" w:color="auto" w:sz="8" w:space="0"/>
        <w:left w:val="single" w:color="auto" w:sz="8" w:space="0"/>
        <w:right w:val="single" w:color="auto" w:sz="8" w:space="0"/>
      </w:pBdr>
      <w:spacing w:before="100" w:beforeLines="0" w:beforeAutospacing="1" w:after="100" w:afterLines="0" w:afterAutospacing="1"/>
      <w:jc w:val="center"/>
    </w:pPr>
    <w:rPr>
      <w:rFonts w:ascii="宋体" w:hAnsi="宋体"/>
      <w:color w:val="0000FF"/>
      <w:kern w:val="0"/>
      <w:sz w:val="24"/>
    </w:rPr>
  </w:style>
  <w:style w:type="paragraph" w:customStyle="1" w:styleId="246">
    <w:name w:val="样式 正文文本缩进 + 首行缩进:  2 字符1"/>
    <w:basedOn w:val="22"/>
    <w:qFormat/>
    <w:uiPriority w:val="0"/>
    <w:pPr>
      <w:adjustRightInd w:val="0"/>
      <w:spacing w:after="0" w:afterLines="0" w:afterAutospacing="0" w:line="360" w:lineRule="auto"/>
      <w:ind w:left="0" w:leftChars="0" w:firstLine="560" w:firstLineChars="200"/>
      <w:textAlignment w:val="baseline"/>
    </w:pPr>
    <w:rPr>
      <w:sz w:val="28"/>
    </w:rPr>
  </w:style>
  <w:style w:type="paragraph" w:customStyle="1" w:styleId="247">
    <w:name w:val="xl13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kern w:val="0"/>
      <w:sz w:val="20"/>
    </w:rPr>
  </w:style>
  <w:style w:type="paragraph" w:customStyle="1" w:styleId="248">
    <w:name w:val="xl175"/>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color w:val="FF00FF"/>
      <w:kern w:val="0"/>
      <w:sz w:val="20"/>
    </w:rPr>
  </w:style>
  <w:style w:type="paragraph" w:customStyle="1" w:styleId="249">
    <w:name w:val="xl13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250">
    <w:name w:val="xl157"/>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20"/>
    </w:rPr>
  </w:style>
  <w:style w:type="paragraph" w:customStyle="1" w:styleId="251">
    <w:name w:val="样式 样式 样式 正文首行缩进 2 + 首行缩进:  2.5 字符 + 首行缩进:  2 字符 Char + 首行缩进:  2 ... Char"/>
    <w:basedOn w:val="1"/>
    <w:qFormat/>
    <w:uiPriority w:val="0"/>
    <w:pPr>
      <w:numPr>
        <w:ilvl w:val="1"/>
        <w:numId w:val="6"/>
      </w:numPr>
      <w:adjustRightInd w:val="0"/>
      <w:spacing w:line="360" w:lineRule="auto"/>
      <w:ind w:left="0" w:firstLine="200" w:firstLineChars="200"/>
      <w:textAlignment w:val="baseline"/>
    </w:pPr>
    <w:rPr>
      <w:rFonts w:ascii="宋体"/>
      <w:kern w:val="0"/>
      <w:sz w:val="24"/>
    </w:rPr>
  </w:style>
  <w:style w:type="paragraph" w:customStyle="1" w:styleId="252">
    <w:name w:val="xl103"/>
    <w:basedOn w:val="1"/>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0"/>
    </w:rPr>
  </w:style>
  <w:style w:type="paragraph" w:customStyle="1" w:styleId="253">
    <w:name w:val="xl88"/>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color w:val="FF0000"/>
      <w:kern w:val="0"/>
      <w:sz w:val="20"/>
    </w:rPr>
  </w:style>
  <w:style w:type="paragraph" w:customStyle="1" w:styleId="254">
    <w:name w:val="xl156"/>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0"/>
    </w:rPr>
  </w:style>
  <w:style w:type="paragraph" w:customStyle="1" w:styleId="255">
    <w:name w:val="样式 样式 样式 样式 正文首行缩进 2 + 首行缩进:  2.5 字符 + 首行缩进:  2 字符 Char + 首行缩进: ..."/>
    <w:basedOn w:val="251"/>
    <w:qFormat/>
    <w:uiPriority w:val="0"/>
    <w:pPr>
      <w:numPr>
        <w:ilvl w:val="0"/>
        <w:numId w:val="0"/>
      </w:numPr>
      <w:tabs>
        <w:tab w:val="left" w:pos="5765"/>
        <w:tab w:val="left" w:pos="6170"/>
      </w:tabs>
    </w:pPr>
    <w:rPr>
      <w:rFonts w:hAnsi="宋体"/>
      <w:kern w:val="2"/>
      <w:sz w:val="28"/>
    </w:rPr>
  </w:style>
  <w:style w:type="paragraph" w:customStyle="1" w:styleId="256">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rPr>
  </w:style>
  <w:style w:type="paragraph" w:customStyle="1" w:styleId="257">
    <w:name w:val="样式 样式 小四 左 首行缩进:  2 字符 + 首行缩进:  2 字符 Char"/>
    <w:basedOn w:val="1"/>
    <w:qFormat/>
    <w:uiPriority w:val="0"/>
    <w:pPr>
      <w:tabs>
        <w:tab w:val="left" w:pos="964"/>
      </w:tabs>
      <w:adjustRightInd w:val="0"/>
      <w:spacing w:line="360" w:lineRule="auto"/>
      <w:ind w:rightChars="-20" w:firstLine="560"/>
      <w:jc w:val="left"/>
      <w:textAlignment w:val="baseline"/>
    </w:pPr>
    <w:rPr>
      <w:sz w:val="28"/>
    </w:rPr>
  </w:style>
  <w:style w:type="paragraph" w:customStyle="1" w:styleId="258">
    <w:name w:val="xl181"/>
    <w:basedOn w:val="1"/>
    <w:qFormat/>
    <w:uiPriority w:val="0"/>
    <w:pPr>
      <w:widowControl/>
      <w:pBdr>
        <w:top w:val="single" w:color="auto" w:sz="4" w:space="0"/>
        <w:left w:val="single" w:color="auto" w:sz="4" w:space="0"/>
      </w:pBdr>
      <w:spacing w:before="100" w:beforeAutospacing="1" w:after="100" w:afterAutospacing="1"/>
      <w:jc w:val="center"/>
    </w:pPr>
    <w:rPr>
      <w:rFonts w:ascii="宋体" w:hAnsi="宋体" w:cs="宋体"/>
      <w:color w:val="FF0000"/>
      <w:kern w:val="0"/>
      <w:sz w:val="20"/>
    </w:rPr>
  </w:style>
  <w:style w:type="paragraph" w:customStyle="1" w:styleId="259">
    <w:name w:val="xl15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3366FF"/>
      <w:kern w:val="0"/>
      <w:sz w:val="20"/>
    </w:rPr>
  </w:style>
  <w:style w:type="paragraph" w:customStyle="1" w:styleId="260">
    <w:name w:val="xl13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261">
    <w:name w:val="xl80"/>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262">
    <w:name w:val="xl11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rPr>
  </w:style>
  <w:style w:type="paragraph" w:customStyle="1" w:styleId="263">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color w:val="000000"/>
      <w:kern w:val="0"/>
      <w:sz w:val="20"/>
    </w:rPr>
  </w:style>
  <w:style w:type="paragraph" w:customStyle="1" w:styleId="264">
    <w:name w:val="xl10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265">
    <w:name w:val="xl16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26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267">
    <w:name w:val="xl130"/>
    <w:basedOn w:val="1"/>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color w:val="000000"/>
      <w:kern w:val="0"/>
      <w:sz w:val="20"/>
    </w:rPr>
  </w:style>
  <w:style w:type="paragraph" w:customStyle="1" w:styleId="268">
    <w:name w:val="xl12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kern w:val="0"/>
      <w:sz w:val="20"/>
    </w:rPr>
  </w:style>
  <w:style w:type="paragraph" w:customStyle="1" w:styleId="269">
    <w:name w:val="xl11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rPr>
  </w:style>
  <w:style w:type="paragraph" w:customStyle="1" w:styleId="27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sz w:val="20"/>
    </w:rPr>
  </w:style>
  <w:style w:type="paragraph" w:customStyle="1" w:styleId="271">
    <w:name w:val="xl153"/>
    <w:basedOn w:val="1"/>
    <w:uiPriority w:val="0"/>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cs="宋体"/>
      <w:kern w:val="0"/>
      <w:sz w:val="20"/>
    </w:rPr>
  </w:style>
  <w:style w:type="paragraph" w:customStyle="1" w:styleId="272">
    <w:name w:val="xl23"/>
    <w:basedOn w:val="1"/>
    <w:qFormat/>
    <w:uiPriority w:val="0"/>
    <w:pPr>
      <w:widowControl/>
      <w:spacing w:before="100" w:beforeLines="0" w:beforeAutospacing="1" w:after="100" w:afterLines="0" w:afterAutospacing="1"/>
      <w:jc w:val="center"/>
      <w:textAlignment w:val="center"/>
    </w:pPr>
    <w:rPr>
      <w:rFonts w:ascii="宋体" w:hAnsi="宋体"/>
      <w:kern w:val="0"/>
      <w:sz w:val="24"/>
    </w:rPr>
  </w:style>
  <w:style w:type="paragraph" w:customStyle="1" w:styleId="273">
    <w:name w:val="title"/>
    <w:basedOn w:val="1"/>
    <w:qFormat/>
    <w:uiPriority w:val="0"/>
    <w:pPr>
      <w:widowControl/>
      <w:spacing w:before="100" w:beforeLines="0" w:beforeAutospacing="1" w:after="100" w:afterLines="0" w:afterAutospacing="1" w:line="680" w:lineRule="atLeast"/>
      <w:jc w:val="left"/>
    </w:pPr>
    <w:rPr>
      <w:rFonts w:ascii="Ђˎ̥" w:hAnsi="Ђˎ̥"/>
      <w:b/>
      <w:color w:val="000099"/>
      <w:kern w:val="0"/>
      <w:sz w:val="36"/>
    </w:rPr>
  </w:style>
  <w:style w:type="paragraph" w:customStyle="1" w:styleId="274">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rPr>
  </w:style>
  <w:style w:type="paragraph" w:customStyle="1" w:styleId="275">
    <w:name w:val="xl7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rPr>
  </w:style>
  <w:style w:type="paragraph" w:customStyle="1" w:styleId="276">
    <w:name w:val="xl13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rPr>
  </w:style>
  <w:style w:type="paragraph" w:customStyle="1" w:styleId="277">
    <w:name w:val="xl17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color w:val="FF00FF"/>
      <w:kern w:val="0"/>
      <w:sz w:val="20"/>
    </w:rPr>
  </w:style>
  <w:style w:type="paragraph" w:customStyle="1" w:styleId="278">
    <w:name w:val="表头"/>
    <w:basedOn w:val="36"/>
    <w:next w:val="16"/>
    <w:qFormat/>
    <w:uiPriority w:val="0"/>
    <w:pPr>
      <w:adjustRightInd w:val="0"/>
      <w:snapToGrid w:val="0"/>
      <w:spacing w:before="156" w:beforeLines="50" w:after="0" w:line="360" w:lineRule="auto"/>
      <w:jc w:val="center"/>
    </w:pPr>
    <w:rPr>
      <w:rFonts w:hAnsi="宋体"/>
      <w:b/>
      <w:bCs/>
      <w:color w:val="000000"/>
      <w:w w:val="101"/>
      <w:kern w:val="0"/>
      <w:sz w:val="24"/>
      <w:szCs w:val="24"/>
      <w:lang w:val="en-GB"/>
    </w:rPr>
  </w:style>
  <w:style w:type="paragraph" w:customStyle="1" w:styleId="279">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rPr>
  </w:style>
  <w:style w:type="paragraph" w:customStyle="1" w:styleId="280">
    <w:name w:val="xl16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FF"/>
      <w:kern w:val="0"/>
      <w:sz w:val="20"/>
    </w:rPr>
  </w:style>
  <w:style w:type="paragraph" w:customStyle="1" w:styleId="281">
    <w:name w:val="xl127"/>
    <w:basedOn w:val="1"/>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color w:val="000000"/>
      <w:kern w:val="0"/>
      <w:sz w:val="20"/>
    </w:rPr>
  </w:style>
  <w:style w:type="paragraph" w:customStyle="1" w:styleId="282">
    <w:name w:val="xl26"/>
    <w:basedOn w:val="1"/>
    <w:qFormat/>
    <w:uiPriority w:val="0"/>
    <w:pPr>
      <w:widowControl/>
      <w:pBdr>
        <w:bottom w:val="single" w:color="auto" w:sz="8" w:space="0"/>
        <w:right w:val="single" w:color="auto" w:sz="8" w:space="0"/>
      </w:pBdr>
      <w:spacing w:before="100" w:beforeLines="0" w:beforeAutospacing="1" w:after="100" w:afterLines="0" w:afterAutospacing="1"/>
      <w:jc w:val="center"/>
    </w:pPr>
    <w:rPr>
      <w:color w:val="0000FF"/>
      <w:kern w:val="0"/>
      <w:sz w:val="24"/>
    </w:rPr>
  </w:style>
  <w:style w:type="paragraph" w:customStyle="1" w:styleId="283">
    <w:name w:val="样式 标题 3 + 小四 段前: 6 磅 段后: 6 磅 行距: 固定值 25 磅"/>
    <w:basedOn w:val="7"/>
    <w:uiPriority w:val="0"/>
    <w:pPr>
      <w:widowControl w:val="0"/>
      <w:numPr>
        <w:ilvl w:val="0"/>
        <w:numId w:val="0"/>
      </w:numPr>
      <w:spacing w:line="500" w:lineRule="exact"/>
      <w:jc w:val="both"/>
    </w:pPr>
    <w:rPr>
      <w:rFonts w:cs="宋体"/>
      <w:kern w:val="2"/>
      <w:sz w:val="28"/>
      <w:szCs w:val="20"/>
    </w:rPr>
  </w:style>
  <w:style w:type="paragraph" w:customStyle="1" w:styleId="284">
    <w:name w:val="xl14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285">
    <w:name w:val="xl182"/>
    <w:basedOn w:val="1"/>
    <w:uiPriority w:val="0"/>
    <w:pPr>
      <w:widowControl/>
      <w:pBdr>
        <w:top w:val="single" w:color="auto" w:sz="4" w:space="0"/>
        <w:left w:val="single" w:color="auto" w:sz="4" w:space="0"/>
      </w:pBdr>
      <w:spacing w:before="100" w:beforeAutospacing="1" w:after="100" w:afterAutospacing="1"/>
      <w:jc w:val="center"/>
    </w:pPr>
    <w:rPr>
      <w:rFonts w:ascii="宋体" w:hAnsi="宋体" w:cs="宋体"/>
      <w:color w:val="FF0000"/>
      <w:kern w:val="0"/>
      <w:sz w:val="20"/>
    </w:rPr>
  </w:style>
  <w:style w:type="paragraph" w:customStyle="1" w:styleId="286">
    <w:name w:val="xl143"/>
    <w:basedOn w:val="1"/>
    <w:qFormat/>
    <w:uiPriority w:val="0"/>
    <w:pPr>
      <w:widowControl/>
      <w:pBdr>
        <w:left w:val="single" w:color="auto" w:sz="4" w:space="0"/>
        <w:right w:val="single" w:color="auto" w:sz="4" w:space="0"/>
      </w:pBdr>
      <w:spacing w:before="100" w:beforeAutospacing="1" w:after="100" w:afterAutospacing="1"/>
      <w:jc w:val="center"/>
    </w:pPr>
    <w:rPr>
      <w:rFonts w:ascii="微软雅黑" w:hAnsi="宋体" w:eastAsia="微软雅黑" w:cs="宋体"/>
      <w:kern w:val="0"/>
      <w:sz w:val="20"/>
    </w:rPr>
  </w:style>
  <w:style w:type="paragraph" w:customStyle="1" w:styleId="28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rPr>
  </w:style>
  <w:style w:type="paragraph" w:customStyle="1" w:styleId="288">
    <w:name w:val="xl12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289">
    <w:name w:val="样式 段前: 5 磅 段后: 5 磅"/>
    <w:basedOn w:val="1"/>
    <w:qFormat/>
    <w:uiPriority w:val="0"/>
    <w:pPr>
      <w:spacing w:before="100" w:beforeLines="0" w:beforeAutospacing="0" w:after="100" w:afterLines="0" w:afterAutospacing="0"/>
      <w:ind w:left="1050" w:leftChars="500" w:rightChars="1554"/>
    </w:pPr>
  </w:style>
  <w:style w:type="paragraph" w:customStyle="1" w:styleId="290">
    <w:name w:val="xl89"/>
    <w:basedOn w:val="1"/>
    <w:uiPriority w:val="0"/>
    <w:pPr>
      <w:widowControl/>
      <w:pBdr>
        <w:left w:val="single" w:color="auto" w:sz="4" w:space="0"/>
      </w:pBdr>
      <w:spacing w:before="100" w:beforeAutospacing="1" w:after="100" w:afterAutospacing="1"/>
      <w:jc w:val="center"/>
    </w:pPr>
    <w:rPr>
      <w:rFonts w:ascii="宋体" w:hAnsi="宋体" w:cs="宋体"/>
      <w:color w:val="FF0000"/>
      <w:kern w:val="0"/>
      <w:sz w:val="20"/>
    </w:rPr>
  </w:style>
  <w:style w:type="paragraph" w:customStyle="1" w:styleId="291">
    <w:name w:val="项目编号"/>
    <w:basedOn w:val="40"/>
    <w:qFormat/>
    <w:uiPriority w:val="0"/>
    <w:pPr>
      <w:numPr>
        <w:ilvl w:val="0"/>
        <w:numId w:val="7"/>
      </w:numPr>
      <w:tabs>
        <w:tab w:val="left" w:pos="360"/>
        <w:tab w:val="left" w:pos="1792"/>
        <w:tab w:val="clear" w:pos="980"/>
      </w:tabs>
      <w:spacing w:after="0"/>
      <w:ind w:left="0" w:leftChars="0" w:firstLine="0" w:firstLineChars="0"/>
    </w:pPr>
    <w:rPr>
      <w:sz w:val="28"/>
    </w:rPr>
  </w:style>
  <w:style w:type="paragraph" w:customStyle="1" w:styleId="292">
    <w:name w:val="xl171"/>
    <w:basedOn w:val="1"/>
    <w:uiPriority w:val="0"/>
    <w:pPr>
      <w:widowControl/>
      <w:pBdr>
        <w:left w:val="single" w:color="auto" w:sz="4" w:space="0"/>
        <w:right w:val="single" w:color="auto" w:sz="4" w:space="0"/>
      </w:pBdr>
      <w:spacing w:before="100" w:beforeAutospacing="1" w:after="100" w:afterAutospacing="1"/>
      <w:jc w:val="left"/>
    </w:pPr>
    <w:rPr>
      <w:rFonts w:ascii="宋体" w:hAnsi="宋体" w:cs="宋体"/>
      <w:color w:val="FF00FF"/>
      <w:kern w:val="0"/>
      <w:sz w:val="24"/>
      <w:szCs w:val="24"/>
    </w:rPr>
  </w:style>
  <w:style w:type="paragraph" w:customStyle="1" w:styleId="293">
    <w:name w:val="xl16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FF"/>
      <w:kern w:val="0"/>
      <w:sz w:val="20"/>
    </w:rPr>
  </w:style>
  <w:style w:type="paragraph" w:customStyle="1" w:styleId="294">
    <w:name w:val="xl112"/>
    <w:basedOn w:val="1"/>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2"/>
      <w:szCs w:val="22"/>
    </w:rPr>
  </w:style>
  <w:style w:type="paragraph" w:customStyle="1" w:styleId="295">
    <w:name w:val="xl186"/>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color w:val="FF0000"/>
      <w:kern w:val="0"/>
      <w:sz w:val="20"/>
    </w:rPr>
  </w:style>
  <w:style w:type="paragraph" w:customStyle="1" w:styleId="296">
    <w:name w:val="xl188"/>
    <w:basedOn w:val="1"/>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sz w:val="20"/>
    </w:rPr>
  </w:style>
  <w:style w:type="paragraph" w:customStyle="1" w:styleId="297">
    <w:name w:val="xl99"/>
    <w:basedOn w:val="1"/>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color w:val="FF0000"/>
      <w:kern w:val="0"/>
      <w:sz w:val="20"/>
    </w:rPr>
  </w:style>
  <w:style w:type="paragraph" w:customStyle="1" w:styleId="298">
    <w:name w:val="xl192"/>
    <w:basedOn w:val="1"/>
    <w:uiPriority w:val="0"/>
    <w:pPr>
      <w:widowControl/>
      <w:pBdr>
        <w:top w:val="single" w:color="auto" w:sz="4" w:space="0"/>
        <w:left w:val="single" w:color="auto" w:sz="4" w:space="0"/>
      </w:pBdr>
      <w:spacing w:before="100" w:beforeAutospacing="1" w:after="100" w:afterAutospacing="1"/>
      <w:jc w:val="center"/>
    </w:pPr>
    <w:rPr>
      <w:rFonts w:ascii="宋体" w:hAnsi="宋体" w:cs="宋体"/>
      <w:kern w:val="0"/>
      <w:sz w:val="20"/>
    </w:rPr>
  </w:style>
  <w:style w:type="paragraph" w:customStyle="1" w:styleId="299">
    <w:name w:val="xl105"/>
    <w:basedOn w:val="1"/>
    <w:uiPriority w:val="0"/>
    <w:pPr>
      <w:widowControl/>
      <w:pBdr>
        <w:top w:val="single" w:color="auto" w:sz="4" w:space="0"/>
        <w:bottom w:val="single" w:color="auto" w:sz="4" w:space="0"/>
      </w:pBdr>
      <w:spacing w:before="100" w:beforeAutospacing="1" w:after="100" w:afterAutospacing="1"/>
      <w:jc w:val="center"/>
    </w:pPr>
    <w:rPr>
      <w:rFonts w:ascii="宋体" w:hAnsi="宋体" w:cs="宋体"/>
      <w:color w:val="000000"/>
      <w:kern w:val="0"/>
      <w:sz w:val="20"/>
    </w:rPr>
  </w:style>
  <w:style w:type="paragraph" w:customStyle="1" w:styleId="300">
    <w:name w:val="xl176"/>
    <w:basedOn w:val="1"/>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color w:val="000000"/>
      <w:kern w:val="0"/>
      <w:sz w:val="20"/>
    </w:rPr>
  </w:style>
  <w:style w:type="paragraph" w:customStyle="1" w:styleId="301">
    <w:name w:val="xl6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302">
    <w:name w:val="xl146"/>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rPr>
  </w:style>
  <w:style w:type="paragraph" w:customStyle="1" w:styleId="303">
    <w:name w:val="xl11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0"/>
    </w:rPr>
  </w:style>
  <w:style w:type="paragraph" w:customStyle="1" w:styleId="304">
    <w:name w:val="xl13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szCs w:val="24"/>
    </w:rPr>
  </w:style>
  <w:style w:type="paragraph" w:customStyle="1" w:styleId="305">
    <w:name w:val="Table caption|1"/>
    <w:basedOn w:val="1"/>
    <w:qFormat/>
    <w:uiPriority w:val="0"/>
    <w:pPr>
      <w:widowControl w:val="0"/>
      <w:shd w:val="clear" w:color="auto" w:fill="FFFFFF"/>
      <w:spacing w:line="160" w:lineRule="exact"/>
    </w:pPr>
    <w:rPr>
      <w:rFonts w:ascii="PMingLiU" w:hAnsi="PMingLiU" w:eastAsia="PMingLiU" w:cs="PMingLiU"/>
      <w:sz w:val="16"/>
      <w:szCs w:val="16"/>
      <w:u w:val="none"/>
    </w:rPr>
  </w:style>
  <w:style w:type="paragraph" w:customStyle="1" w:styleId="306">
    <w:name w:val="xl160"/>
    <w:basedOn w:val="1"/>
    <w:uiPriority w:val="0"/>
    <w:pPr>
      <w:widowControl/>
      <w:pBdr>
        <w:left w:val="single" w:color="auto" w:sz="4" w:space="0"/>
        <w:right w:val="single" w:color="auto" w:sz="4" w:space="0"/>
      </w:pBdr>
      <w:spacing w:before="100" w:beforeAutospacing="1" w:after="100" w:afterAutospacing="1"/>
      <w:jc w:val="center"/>
    </w:pPr>
    <w:rPr>
      <w:rFonts w:ascii="宋体" w:hAnsi="宋体" w:cs="宋体"/>
      <w:color w:val="0000FF"/>
      <w:kern w:val="0"/>
      <w:sz w:val="20"/>
    </w:rPr>
  </w:style>
  <w:style w:type="paragraph" w:customStyle="1" w:styleId="307">
    <w:name w:val="xl13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rPr>
  </w:style>
  <w:style w:type="paragraph" w:customStyle="1" w:styleId="308">
    <w:name w:val="xl10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rPr>
  </w:style>
  <w:style w:type="paragraph" w:customStyle="1" w:styleId="309">
    <w:name w:val="xl174"/>
    <w:basedOn w:val="1"/>
    <w:uiPriority w:val="0"/>
    <w:pPr>
      <w:widowControl/>
      <w:pBdr>
        <w:top w:val="single" w:color="auto" w:sz="4" w:space="0"/>
        <w:left w:val="single" w:color="auto" w:sz="4" w:space="0"/>
      </w:pBdr>
      <w:spacing w:before="100" w:beforeAutospacing="1" w:after="100" w:afterAutospacing="1"/>
      <w:jc w:val="left"/>
    </w:pPr>
    <w:rPr>
      <w:rFonts w:ascii="宋体" w:hAnsi="宋体" w:cs="宋体"/>
      <w:color w:val="FF00FF"/>
      <w:kern w:val="0"/>
      <w:sz w:val="20"/>
    </w:rPr>
  </w:style>
  <w:style w:type="paragraph" w:customStyle="1" w:styleId="310">
    <w:name w:val="样式 列表编号 + 行距: 最小值 12 磅"/>
    <w:basedOn w:val="15"/>
    <w:uiPriority w:val="0"/>
    <w:pPr>
      <w:numPr>
        <w:ilvl w:val="0"/>
        <w:numId w:val="8"/>
      </w:numPr>
      <w:tabs>
        <w:tab w:val="clear" w:pos="307"/>
      </w:tabs>
      <w:adjustRightInd w:val="0"/>
      <w:spacing w:line="360" w:lineRule="auto"/>
      <w:textAlignment w:val="baseline"/>
    </w:pPr>
    <w:rPr>
      <w:sz w:val="28"/>
    </w:rPr>
  </w:style>
  <w:style w:type="paragraph" w:customStyle="1" w:styleId="311">
    <w:name w:val="xl86"/>
    <w:basedOn w:val="1"/>
    <w:uiPriority w:val="0"/>
    <w:pPr>
      <w:widowControl/>
      <w:pBdr>
        <w:left w:val="single" w:color="auto" w:sz="4" w:space="0"/>
        <w:right w:val="single" w:color="auto" w:sz="4" w:space="0"/>
      </w:pBdr>
      <w:spacing w:before="100" w:beforeAutospacing="1" w:after="100" w:afterAutospacing="1"/>
      <w:jc w:val="center"/>
      <w:textAlignment w:val="top"/>
    </w:pPr>
    <w:rPr>
      <w:rFonts w:ascii="宋体" w:hAnsi="宋体" w:cs="宋体"/>
      <w:kern w:val="0"/>
      <w:sz w:val="20"/>
    </w:rPr>
  </w:style>
  <w:style w:type="paragraph" w:customStyle="1" w:styleId="312">
    <w:name w:val="Default"/>
    <w:unhideWhenUsed/>
    <w:uiPriority w:val="99"/>
    <w:pPr>
      <w:widowControl w:val="0"/>
      <w:autoSpaceDE w:val="0"/>
      <w:autoSpaceDN w:val="0"/>
      <w:adjustRightInd w:val="0"/>
      <w:spacing w:beforeLines="0" w:afterLines="0"/>
    </w:pPr>
    <w:rPr>
      <w:rFonts w:hint="eastAsia" w:ascii="黑体" w:hAnsi="黑体" w:eastAsia="黑体" w:cs="Times New Roman"/>
      <w:color w:val="00000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chart" Target="charts/chart1.xml"/><Relationship Id="rId10" Type="http://schemas.openxmlformats.org/officeDocument/2006/relationships/image" Target="media/image3.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36719;&#20214;\&#24037;&#20316;\&#20892;&#26449;&#27745;&#27700;&#22788;&#29702;&#35268;&#21010;\&#27745;&#27700;&#35745;&#31639;\&#21451;&#2290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t>汤旺河断面监测数据对比图</a:t>
            </a:r>
          </a:p>
        </c:rich>
      </c:tx>
      <c:layout/>
      <c:overlay val="0"/>
      <c:spPr>
        <a:noFill/>
        <a:ln>
          <a:noFill/>
        </a:ln>
        <a:effectLst/>
      </c:spPr>
    </c:title>
    <c:autoTitleDeleted val="0"/>
    <c:plotArea>
      <c:layout/>
      <c:barChart>
        <c:barDir val="col"/>
        <c:grouping val="clustered"/>
        <c:varyColors val="0"/>
        <c:ser>
          <c:idx val="0"/>
          <c:order val="0"/>
          <c:tx>
            <c:strRef>
              <c:f>[友好.xlsx]Sheet2!$D$3</c:f>
              <c:strCache>
                <c:ptCount val="1"/>
                <c:pt idx="0">
                  <c:v>2017</c:v>
                </c:pt>
              </c:strCache>
            </c:strRef>
          </c:tx>
          <c:spPr>
            <a:solidFill>
              <a:srgbClr val="4F81BD"/>
            </a:solidFill>
            <a:ln>
              <a:noFill/>
            </a:ln>
            <a:effectLst/>
          </c:spPr>
          <c:invertIfNegative val="0"/>
          <c:dLbls>
            <c:delete val="1"/>
          </c:dLbls>
          <c:cat>
            <c:strRef>
              <c:f>[友好.xlsx]Sheet2!$E$2:$I$2</c:f>
              <c:strCache>
                <c:ptCount val="5"/>
                <c:pt idx="0">
                  <c:v>化学需氧量（mg/L）</c:v>
                </c:pt>
                <c:pt idx="1">
                  <c:v>五日生化需氧量（mg/L）</c:v>
                </c:pt>
                <c:pt idx="2">
                  <c:v>氨氮（mg/L）</c:v>
                </c:pt>
                <c:pt idx="3">
                  <c:v>总磷（mg/L）</c:v>
                </c:pt>
                <c:pt idx="4">
                  <c:v>总氮（mg/L）</c:v>
                </c:pt>
              </c:strCache>
            </c:strRef>
          </c:cat>
          <c:val>
            <c:numRef>
              <c:f>[友好.xlsx]Sheet2!$E$3:$I$3</c:f>
              <c:numCache>
                <c:formatCode>0.00_ </c:formatCode>
                <c:ptCount val="5"/>
                <c:pt idx="0">
                  <c:v>28</c:v>
                </c:pt>
                <c:pt idx="1">
                  <c:v>6.5</c:v>
                </c:pt>
                <c:pt idx="2">
                  <c:v>0.42</c:v>
                </c:pt>
                <c:pt idx="3">
                  <c:v>0.01</c:v>
                </c:pt>
                <c:pt idx="4">
                  <c:v>0.97</c:v>
                </c:pt>
              </c:numCache>
            </c:numRef>
          </c:val>
        </c:ser>
        <c:ser>
          <c:idx val="1"/>
          <c:order val="1"/>
          <c:tx>
            <c:strRef>
              <c:f>[友好.xlsx]Sheet2!$D$4</c:f>
              <c:strCache>
                <c:ptCount val="1"/>
                <c:pt idx="0">
                  <c:v>2018</c:v>
                </c:pt>
              </c:strCache>
            </c:strRef>
          </c:tx>
          <c:spPr>
            <a:solidFill>
              <a:srgbClr val="C0504D"/>
            </a:solidFill>
            <a:ln>
              <a:noFill/>
            </a:ln>
            <a:effectLst/>
          </c:spPr>
          <c:invertIfNegative val="0"/>
          <c:dLbls>
            <c:delete val="1"/>
          </c:dLbls>
          <c:cat>
            <c:strRef>
              <c:f>[友好.xlsx]Sheet2!$E$2:$I$2</c:f>
              <c:strCache>
                <c:ptCount val="5"/>
                <c:pt idx="0">
                  <c:v>化学需氧量（mg/L）</c:v>
                </c:pt>
                <c:pt idx="1">
                  <c:v>五日生化需氧量（mg/L）</c:v>
                </c:pt>
                <c:pt idx="2">
                  <c:v>氨氮（mg/L）</c:v>
                </c:pt>
                <c:pt idx="3">
                  <c:v>总磷（mg/L）</c:v>
                </c:pt>
                <c:pt idx="4">
                  <c:v>总氮（mg/L）</c:v>
                </c:pt>
              </c:strCache>
            </c:strRef>
          </c:cat>
          <c:val>
            <c:numRef>
              <c:f>[友好.xlsx]Sheet2!$E$4:$I$4</c:f>
              <c:numCache>
                <c:formatCode>0.00_ </c:formatCode>
                <c:ptCount val="5"/>
                <c:pt idx="0">
                  <c:v>26.3333333333333</c:v>
                </c:pt>
                <c:pt idx="1">
                  <c:v>4.63333333333333</c:v>
                </c:pt>
                <c:pt idx="2">
                  <c:v>0.849</c:v>
                </c:pt>
                <c:pt idx="3">
                  <c:v>0.0766666666666667</c:v>
                </c:pt>
                <c:pt idx="4">
                  <c:v>1.06</c:v>
                </c:pt>
              </c:numCache>
            </c:numRef>
          </c:val>
        </c:ser>
        <c:ser>
          <c:idx val="2"/>
          <c:order val="2"/>
          <c:tx>
            <c:strRef>
              <c:f>[友好.xlsx]Sheet2!$D$5</c:f>
              <c:strCache>
                <c:ptCount val="1"/>
                <c:pt idx="0">
                  <c:v>2019</c:v>
                </c:pt>
              </c:strCache>
            </c:strRef>
          </c:tx>
          <c:spPr>
            <a:solidFill>
              <a:srgbClr val="9BBB59"/>
            </a:solidFill>
            <a:ln>
              <a:noFill/>
            </a:ln>
            <a:effectLst/>
          </c:spPr>
          <c:invertIfNegative val="0"/>
          <c:dLbls>
            <c:delete val="1"/>
          </c:dLbls>
          <c:cat>
            <c:strRef>
              <c:f>[友好.xlsx]Sheet2!$E$2:$I$2</c:f>
              <c:strCache>
                <c:ptCount val="5"/>
                <c:pt idx="0">
                  <c:v>化学需氧量（mg/L）</c:v>
                </c:pt>
                <c:pt idx="1">
                  <c:v>五日生化需氧量（mg/L）</c:v>
                </c:pt>
                <c:pt idx="2">
                  <c:v>氨氮（mg/L）</c:v>
                </c:pt>
                <c:pt idx="3">
                  <c:v>总磷（mg/L）</c:v>
                </c:pt>
                <c:pt idx="4">
                  <c:v>总氮（mg/L）</c:v>
                </c:pt>
              </c:strCache>
            </c:strRef>
          </c:cat>
          <c:val>
            <c:numRef>
              <c:f>[友好.xlsx]Sheet2!$E$5:$I$5</c:f>
              <c:numCache>
                <c:formatCode>0.00_ </c:formatCode>
                <c:ptCount val="5"/>
                <c:pt idx="0">
                  <c:v>16.6666666666667</c:v>
                </c:pt>
                <c:pt idx="1">
                  <c:v>3.53333333333333</c:v>
                </c:pt>
                <c:pt idx="2">
                  <c:v>0.623333333333333</c:v>
                </c:pt>
                <c:pt idx="3">
                  <c:v>0.0303333333333333</c:v>
                </c:pt>
                <c:pt idx="4">
                  <c:v>1.62666666666667</c:v>
                </c:pt>
              </c:numCache>
            </c:numRef>
          </c:val>
        </c:ser>
        <c:ser>
          <c:idx val="3"/>
          <c:order val="3"/>
          <c:tx>
            <c:strRef>
              <c:f>[友好.xlsx]Sheet2!$D$6</c:f>
              <c:strCache>
                <c:ptCount val="1"/>
                <c:pt idx="0">
                  <c:v>Ⅳ类（目标）</c:v>
                </c:pt>
              </c:strCache>
            </c:strRef>
          </c:tx>
          <c:spPr>
            <a:solidFill>
              <a:srgbClr val="8064A2"/>
            </a:solidFill>
            <a:ln>
              <a:noFill/>
            </a:ln>
            <a:effectLst/>
          </c:spPr>
          <c:invertIfNegative val="0"/>
          <c:dLbls>
            <c:delete val="1"/>
          </c:dLbls>
          <c:cat>
            <c:strRef>
              <c:f>[友好.xlsx]Sheet2!$E$2:$I$2</c:f>
              <c:strCache>
                <c:ptCount val="5"/>
                <c:pt idx="0">
                  <c:v>化学需氧量（mg/L）</c:v>
                </c:pt>
                <c:pt idx="1">
                  <c:v>五日生化需氧量（mg/L）</c:v>
                </c:pt>
                <c:pt idx="2">
                  <c:v>氨氮（mg/L）</c:v>
                </c:pt>
                <c:pt idx="3">
                  <c:v>总磷（mg/L）</c:v>
                </c:pt>
                <c:pt idx="4">
                  <c:v>总氮（mg/L）</c:v>
                </c:pt>
              </c:strCache>
            </c:strRef>
          </c:cat>
          <c:val>
            <c:numRef>
              <c:f>[友好.xlsx]Sheet2!$E$6:$I$6</c:f>
              <c:numCache>
                <c:formatCode>0.00_ </c:formatCode>
                <c:ptCount val="5"/>
                <c:pt idx="0">
                  <c:v>30</c:v>
                </c:pt>
                <c:pt idx="1">
                  <c:v>6</c:v>
                </c:pt>
                <c:pt idx="2">
                  <c:v>1.5</c:v>
                </c:pt>
                <c:pt idx="3">
                  <c:v>0.3</c:v>
                </c:pt>
                <c:pt idx="4">
                  <c:v>1.5</c:v>
                </c:pt>
              </c:numCache>
            </c:numRef>
          </c:val>
        </c:ser>
        <c:dLbls>
          <c:showLegendKey val="0"/>
          <c:showVal val="0"/>
          <c:showCatName val="0"/>
          <c:showSerName val="0"/>
          <c:showPercent val="0"/>
          <c:showBubbleSize val="0"/>
        </c:dLbls>
        <c:gapWidth val="219"/>
        <c:overlap val="-27"/>
        <c:axId val="374563801"/>
        <c:axId val="347199432"/>
      </c:barChart>
      <c:catAx>
        <c:axId val="374563801"/>
        <c:scaling>
          <c:orientation val="minMax"/>
        </c:scaling>
        <c:delete val="0"/>
        <c:axPos val="b"/>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347199432"/>
        <c:crosses val="autoZero"/>
        <c:auto val="1"/>
        <c:lblAlgn val="ctr"/>
        <c:lblOffset val="100"/>
        <c:noMultiLvlLbl val="0"/>
      </c:catAx>
      <c:valAx>
        <c:axId val="347199432"/>
        <c:scaling>
          <c:orientation val="minMax"/>
        </c:scaling>
        <c:delete val="0"/>
        <c:axPos val="l"/>
        <c:majorGridlines>
          <c:spPr>
            <a:ln w="9525" cap="flat" cmpd="sng" algn="ctr">
              <a:solidFill>
                <a:srgbClr val="D9D9D9">
                  <a:lumMod val="15000"/>
                  <a:lumOff val="85000"/>
                </a:srgb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374563801"/>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DEEPIN</Company>
  <Pages>29</Pages>
  <Words>17200</Words>
  <Characters>19572</Characters>
  <Lines>292</Lines>
  <Paragraphs>82</Paragraphs>
  <TotalTime>0</TotalTime>
  <ScaleCrop>false</ScaleCrop>
  <LinksUpToDate>false</LinksUpToDate>
  <CharactersWithSpaces>20073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2020-04-22T03:27:00Z</dcterms:created>
  <dc:creator>lyn</dc:creator>
  <cp:lastModifiedBy>微信用户</cp:lastModifiedBy>
  <cp:lastPrinted>2012-08-13T05:47:00Z</cp:lastPrinted>
  <dcterms:modified xsi:type="dcterms:W3CDTF">2024-06-05T02:43:04Z</dcterms:modified>
  <dc:title>望城排水规划说明书</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016F95CB5BA54E239F78B517BA8C5EF4</vt:lpwstr>
  </property>
</Properties>
</file>