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bookmarkStart w:id="0" w:name="_Hlk10481708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对《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友好区妇女发展规划（2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021—2025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）和友好区儿童发展规划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021—2025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的政策解读</w:t>
      </w:r>
    </w:p>
    <w:bookmarkEnd w:id="1"/>
    <w:p>
      <w:pPr>
        <w:pStyle w:val="10"/>
        <w:spacing w:line="600" w:lineRule="exact"/>
        <w:ind w:left="870" w:firstLine="0" w:firstLineChars="0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pStyle w:val="10"/>
        <w:numPr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起草过程 </w:t>
      </w:r>
    </w:p>
    <w:p>
      <w:pPr>
        <w:pStyle w:val="10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自1995年以来，为推进落实北京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第四次世界妇女代表大会提出的男女平等基本国策和《北京宣言》战略目标，国务院制定实施了四个周期妇女儿童发展纲要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要求，友好区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政府制定并实施了四个周期规划，区妇儿工委起草了《友好区妇女发展规划（2021—2025）和友好区儿童发展规划（2021—2025）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>
      <w:pPr>
        <w:widowControl/>
        <w:numPr>
          <w:ilvl w:val="0"/>
          <w:numId w:val="1"/>
        </w:numPr>
        <w:shd w:val="clear" w:color="auto" w:fill="FFFFFF"/>
        <w:spacing w:before="65" w:after="65" w:line="580" w:lineRule="exact"/>
        <w:ind w:firstLine="64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起草依据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《伊春市妇女发展规划（2021—2025）》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《伊春市儿童发展规划（2021—2025）》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三、基本框架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妇女和儿童两个规划总体框架均由序言和正文组成。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序言：概述实施妇女儿童发展规划的重要性和必要性。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：由四部分组成。第一部分是指导思想、基本原则和总体目标。第二部分是发展领域、主要目标和策略措施。“妇女规划”设立健康、教育、经济、决策和管理、社会保障、家庭建设、环境、法律保护等8个重点发展领域，每个领域分别设立了主要目标和支持性目标，提出了各项目标的策略措施；“儿童规划”设立健康、安全、教育、福利、家庭、环境、法律保护等7个重点发展领域，每个领域设置了主要目标和支持性目标，提出各项目标的策略措施。第三部分是组织实施。明确各级政府和各职能部门的工作职责，提出相应措施保障规划顺利实施。第四部分是监测评估。明确监测评估的组织机构、牵头部门和工作要求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、主要特点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两个规划力求兼顾好两重关系，一方面，工作目标既有一定压力又确保能够完成，工作部署主体明确，路径清晰，操作性较强。另一方面，兼顾全面覆盖和重点突出，既讲成效，又不回避存在的问题和困难；既与大政方针有机融合，又结合友好实际，部署工作力求全面，具有较强的操作性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春然手书简">
    <w:panose1 w:val="00020600040101010101"/>
    <w:charset w:val="86"/>
    <w:family w:val="auto"/>
    <w:pitch w:val="default"/>
    <w:sig w:usb0="8000007F" w:usb1="0ACF041A" w:usb2="00000016" w:usb3="00000000" w:csb0="0004009F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BF39ED"/>
    <w:multiLevelType w:val="singleLevel"/>
    <w:tmpl w:val="AABF39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2NDUwYTA5ZDhiY2JmZTRmMGI5YTc3ZGU0ODE3MTkifQ=="/>
  </w:docVars>
  <w:rsids>
    <w:rsidRoot w:val="004223B9"/>
    <w:rsid w:val="000A14E5"/>
    <w:rsid w:val="00273825"/>
    <w:rsid w:val="002C6901"/>
    <w:rsid w:val="004223B9"/>
    <w:rsid w:val="004C63D0"/>
    <w:rsid w:val="005C21FF"/>
    <w:rsid w:val="00672837"/>
    <w:rsid w:val="00680A8D"/>
    <w:rsid w:val="00741711"/>
    <w:rsid w:val="00755C55"/>
    <w:rsid w:val="007F298C"/>
    <w:rsid w:val="00A81482"/>
    <w:rsid w:val="00D7530E"/>
    <w:rsid w:val="00D93592"/>
    <w:rsid w:val="00DA3231"/>
    <w:rsid w:val="59874A51"/>
    <w:rsid w:val="634D727D"/>
    <w:rsid w:val="6489635F"/>
    <w:rsid w:val="6C2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808</Words>
  <Characters>859</Characters>
  <Lines>6</Lines>
  <Paragraphs>1</Paragraphs>
  <TotalTime>38</TotalTime>
  <ScaleCrop>false</ScaleCrop>
  <LinksUpToDate>false</LinksUpToDate>
  <CharactersWithSpaces>872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2022-05-30T07:50:00Z</dcterms:created>
  <dc:creator>悦</dc:creator>
  <cp:lastModifiedBy>曲秋楠</cp:lastModifiedBy>
  <dcterms:modified xsi:type="dcterms:W3CDTF">2022-06-14T06:04:27Z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C65826F0B24F4985BCB3F42F139E2951</vt:lpwstr>
  </property>
</Properties>
</file>