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 w:firstLineChars="100"/>
        <w:jc w:val="both"/>
        <w:rPr>
          <w:rFonts w:hint="eastAsia" w:ascii="仿宋_GB2312" w:hAnsi="仿宋_GB2312" w:eastAsia="仿宋_GB2312" w:cs="仿宋_GB2312"/>
          <w:b/>
          <w:bCs/>
          <w:szCs w:val="32"/>
          <w:lang w:val="en-US" w:eastAsia="zh-CN"/>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Ansi="宋体"/>
          <w:b w:val="0"/>
          <w:bCs w:val="0"/>
          <w:szCs w:val="32"/>
        </w:rPr>
      </w:pPr>
    </w:p>
    <w:p>
      <w:pPr>
        <w:jc w:val="center"/>
        <w:rPr>
          <w:rFonts w:hAnsi="宋体"/>
          <w:b w:val="0"/>
          <w:bCs w:val="0"/>
          <w:szCs w:val="32"/>
        </w:rPr>
      </w:pPr>
      <w:r>
        <w:rPr>
          <w:rFonts w:hint="eastAsia" w:hAnsi="宋体"/>
          <w:b w:val="0"/>
          <w:bCs w:val="0"/>
          <w:szCs w:val="32"/>
        </w:rPr>
        <w:t>友政办发〔202</w:t>
      </w:r>
      <w:r>
        <w:rPr>
          <w:rFonts w:hint="eastAsia" w:hAnsi="宋体"/>
          <w:b w:val="0"/>
          <w:bCs w:val="0"/>
          <w:szCs w:val="32"/>
          <w:lang w:val="en-US" w:eastAsia="zh-CN"/>
        </w:rPr>
        <w:t>3</w:t>
      </w:r>
      <w:r>
        <w:rPr>
          <w:rFonts w:hint="eastAsia" w:hAnsi="宋体"/>
          <w:b w:val="0"/>
          <w:bCs w:val="0"/>
          <w:szCs w:val="32"/>
        </w:rPr>
        <w:t>〕</w:t>
      </w:r>
      <w:r>
        <w:rPr>
          <w:rFonts w:hint="eastAsia" w:hAnsi="宋体"/>
          <w:b w:val="0"/>
          <w:bCs w:val="0"/>
          <w:szCs w:val="32"/>
          <w:lang w:val="en-US" w:eastAsia="zh-CN"/>
        </w:rPr>
        <w:t>16</w:t>
      </w:r>
      <w:r>
        <w:rPr>
          <w:rFonts w:hint="eastAsia" w:hAnsi="宋体"/>
          <w:b w:val="0"/>
          <w:bCs w:val="0"/>
          <w:szCs w:val="32"/>
        </w:rPr>
        <w:t>号</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伊春市友好区人民政府办公室</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关于印发《关于在区政府大兴调查研究</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深入开展“察实情、谋良策、破难题、促振兴”</w:t>
      </w:r>
      <w:r>
        <w:rPr>
          <w:rFonts w:hint="eastAsia" w:ascii="方正小标宋简体" w:hAnsi="方正小标宋简体" w:eastAsia="方正小标宋简体" w:cs="方正小标宋简体"/>
          <w:sz w:val="44"/>
          <w:szCs w:val="44"/>
          <w:lang w:val="en-US" w:eastAsia="zh-CN"/>
        </w:rPr>
        <w:t>大调研活动的实施方案》的通知</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区属各单位、部门：</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《关于在区政府大兴调查研究深入开展“察实情、谋良策、破难题、促振兴”大调研活动的实施方案》已经区政府同意，现印发给你们，请结合实际认真贯彻落实。</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伊春市友好区人民政府办公室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lang w:val="en-US" w:eastAsia="zh-CN"/>
        </w:rPr>
      </w:pP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2023年</w:t>
      </w:r>
      <w:r>
        <w:rPr>
          <w:rFonts w:hint="eastAsia" w:hAnsi="仿宋_GB2312" w:cs="仿宋_GB2312"/>
          <w:sz w:val="32"/>
          <w:szCs w:val="32"/>
          <w:lang w:val="en-US" w:eastAsia="zh-CN"/>
        </w:rPr>
        <w:t>6</w:t>
      </w:r>
      <w:r>
        <w:rPr>
          <w:rFonts w:hint="eastAsia" w:ascii="仿宋_GB2312" w:hAnsi="仿宋_GB2312" w:eastAsia="仿宋_GB2312" w:cs="仿宋_GB2312"/>
          <w:sz w:val="32"/>
          <w:szCs w:val="32"/>
          <w:lang w:val="en-US" w:eastAsia="zh-CN"/>
        </w:rPr>
        <w:t>月</w:t>
      </w:r>
      <w:r>
        <w:rPr>
          <w:rFonts w:hint="eastAsia" w:hAnsi="仿宋_GB2312" w:cs="仿宋_GB2312"/>
          <w:sz w:val="32"/>
          <w:szCs w:val="32"/>
          <w:lang w:val="en-US" w:eastAsia="zh-CN"/>
        </w:rPr>
        <w:t>12</w:t>
      </w:r>
      <w:r>
        <w:rPr>
          <w:rFonts w:hint="eastAsia" w:ascii="仿宋_GB2312" w:hAnsi="仿宋_GB2312" w:eastAsia="仿宋_GB2312" w:cs="仿宋_GB2312"/>
          <w:sz w:val="32"/>
          <w:szCs w:val="32"/>
          <w:lang w:val="en-US" w:eastAsia="zh-CN"/>
        </w:rPr>
        <w:t>日</w:t>
      </w:r>
    </w:p>
    <w:tbl>
      <w:tblPr>
        <w:tblStyle w:val="19"/>
        <w:tblpPr w:leftFromText="181" w:rightFromText="181" w:vertAnchor="page" w:horzAnchor="page" w:tblpXSpec="center" w:tblpY="1440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single" w:color="auto" w:sz="12" w:space="0"/>
              <w:left w:val="nil"/>
              <w:bottom w:val="single" w:color="auto" w:sz="12" w:space="0"/>
              <w:right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Ansi="仿宋_GB2312" w:cs="仿宋_GB2312"/>
                <w:b w:val="0"/>
                <w:bCs w:val="0"/>
                <w:sz w:val="28"/>
                <w:szCs w:val="28"/>
              </w:rPr>
            </w:pPr>
            <w:r>
              <w:rPr>
                <w:rFonts w:hint="eastAsia" w:hAnsi="仿宋_GB2312" w:cs="仿宋_GB2312"/>
                <w:b w:val="0"/>
                <w:bCs w:val="0"/>
                <w:sz w:val="28"/>
                <w:szCs w:val="28"/>
              </w:rPr>
              <w:t xml:space="preserve">友好区人民政府办公室            </w:t>
            </w:r>
            <w:r>
              <w:rPr>
                <w:rFonts w:hint="eastAsia" w:hAnsi="仿宋_GB2312" w:cs="仿宋_GB2312"/>
                <w:b w:val="0"/>
                <w:bCs w:val="0"/>
                <w:sz w:val="28"/>
                <w:szCs w:val="28"/>
                <w:lang w:val="en-US" w:eastAsia="zh-CN"/>
              </w:rPr>
              <w:t xml:space="preserve">    </w:t>
            </w:r>
            <w:r>
              <w:rPr>
                <w:rFonts w:hint="eastAsia" w:hAnsi="仿宋_GB2312" w:cs="仿宋_GB2312"/>
                <w:b w:val="0"/>
                <w:bCs w:val="0"/>
                <w:sz w:val="28"/>
                <w:szCs w:val="28"/>
              </w:rPr>
              <w:t xml:space="preserve"> </w:t>
            </w:r>
            <w:r>
              <w:rPr>
                <w:rFonts w:hint="eastAsia" w:hAnsi="仿宋_GB2312" w:cs="仿宋_GB2312"/>
                <w:b w:val="0"/>
                <w:bCs w:val="0"/>
                <w:sz w:val="28"/>
                <w:szCs w:val="28"/>
                <w:lang w:val="en-US" w:eastAsia="zh-CN"/>
              </w:rPr>
              <w:t xml:space="preserve"> </w:t>
            </w:r>
            <w:r>
              <w:rPr>
                <w:rFonts w:hint="eastAsia" w:hAnsi="仿宋_GB2312" w:cs="仿宋_GB2312"/>
                <w:b w:val="0"/>
                <w:bCs w:val="0"/>
                <w:sz w:val="28"/>
                <w:szCs w:val="28"/>
              </w:rPr>
              <w:t xml:space="preserve">  202</w:t>
            </w:r>
            <w:r>
              <w:rPr>
                <w:rFonts w:hint="eastAsia" w:hAnsi="仿宋_GB2312" w:cs="仿宋_GB2312"/>
                <w:b w:val="0"/>
                <w:bCs w:val="0"/>
                <w:sz w:val="28"/>
                <w:szCs w:val="28"/>
                <w:lang w:val="en-US" w:eastAsia="zh-CN"/>
              </w:rPr>
              <w:t>3</w:t>
            </w:r>
            <w:r>
              <w:rPr>
                <w:rFonts w:hint="eastAsia" w:hAnsi="仿宋_GB2312" w:cs="仿宋_GB2312"/>
                <w:b w:val="0"/>
                <w:bCs w:val="0"/>
                <w:sz w:val="28"/>
                <w:szCs w:val="28"/>
              </w:rPr>
              <w:t>年</w:t>
            </w:r>
            <w:r>
              <w:rPr>
                <w:rFonts w:hint="eastAsia" w:hAnsi="仿宋_GB2312" w:cs="仿宋_GB2312"/>
                <w:b w:val="0"/>
                <w:bCs w:val="0"/>
                <w:sz w:val="28"/>
                <w:szCs w:val="28"/>
                <w:lang w:val="en-US" w:eastAsia="zh-CN"/>
              </w:rPr>
              <w:t>6</w:t>
            </w:r>
            <w:r>
              <w:rPr>
                <w:rFonts w:hint="eastAsia" w:hAnsi="仿宋_GB2312" w:cs="仿宋_GB2312"/>
                <w:b w:val="0"/>
                <w:bCs w:val="0"/>
                <w:sz w:val="28"/>
                <w:szCs w:val="28"/>
              </w:rPr>
              <w:t>月</w:t>
            </w:r>
            <w:r>
              <w:rPr>
                <w:rFonts w:hint="eastAsia" w:hAnsi="仿宋_GB2312" w:cs="仿宋_GB2312"/>
                <w:b w:val="0"/>
                <w:bCs w:val="0"/>
                <w:sz w:val="28"/>
                <w:szCs w:val="28"/>
                <w:lang w:val="en-US" w:eastAsia="zh-CN"/>
              </w:rPr>
              <w:t>12</w:t>
            </w:r>
            <w:r>
              <w:rPr>
                <w:rFonts w:hint="eastAsia" w:hAnsi="仿宋_GB2312" w:cs="仿宋_GB2312"/>
                <w:b w:val="0"/>
                <w:bCs w:val="0"/>
                <w:sz w:val="28"/>
                <w:szCs w:val="28"/>
              </w:rPr>
              <w:t xml:space="preserve">日印发  </w:t>
            </w:r>
          </w:p>
        </w:tc>
      </w:tr>
    </w:tbl>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关于在区政府大兴调查研究</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深入开展“察实情、谋良策、破难题、促振兴”大调研活动的实施方案</w:t>
      </w: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学习贯彻习近平新时代中国特色社会主义思想，全面贯彻落实党的二十大、二十届二中全会精神，全面贯彻党中央关于在全党大兴调查研究的重大部署和省委、市委、区委工作要求，扎实推进中国式现代化友好实践开好局起好步，根据《关于在全市大兴调查研究深入开展“察实情、谋良策、破难题、促振兴”大调研活动的实施方案》（伊办发〔2023〕8号）和《关于在全区大兴调查研究深入开展“察实情、谋良策、破难题、促振兴”大调研活动的实施方案》要求，紧密结合政府工作实际，制定如下实施方案。</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一、重要意义</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区政府深入开展“察实情、谋良策、破难题、促振兴”大调研活动，是深刻领悟“两个确立”的决定性意义、坚决做到“两个维护”的具体实践，是组织开展学习贯彻习近平新时代中国特色社会主义思想主题教育的重要内容，是应对新时代新征程前进路上的风浪考验、推进中国式现代化友好实践的有力举措，是时刻保持解决大党独有难题的清醒和坚定、回答“六个如何始终”的现实需要，是推动解放思想、提高履职能力、转变工作作风、密切联系群众、强化责任担当、促进工作落实的有效途径。区政府系统党员干部要深入学习领会习近平总书记关于调查研究的重要论述，对标党中央决策部署和省委、市委、区委工作要求，准确把握大兴调查研究的总体要求、主要内容，不断研究新情况、解决新问题、总结新经验、探索新规律，使调查研究在政府系统上下蔚然成风、取得实实在在的效果。</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二、总体要求</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以习近平新时代中国特色社会主义思想为指导，全面贯彻落实党的二十大精神，认真落实省、市第十三次党代会精神和省委、市委十三届二次、三次全会精神，以及区第二次党代会精神和区委二届三次、四次全会精神，紧紧围绕党的理论和路线方针政策、党中央重大决策部署和省委、市委、区委工作要求的贯彻执行，大力弘扬党的光荣传统和优良作风，突出问题导向和目标导向，促进政府系统党员、干部特别是领导干部带头深入调查研究，不断深化对党的创新理论的认识和把握，善于运用党的创新理论研究新情况、解决新问题、总结新经验、探索新规律，扑下身子干实事、谋实招、求实效，更好为友好高质量转型发展和现代化建设服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展大调研活动，要按照省委提出的“察实情、谋良策、破难题、促振兴”主题主线和市委、区委有关工作要求统筹推进，将大调研贯穿推动高质量发展、加快现代化新友好建设的全过程各方面。深入基层群众“察实情”，牢固树立以人民为中心的发展思想，坚持一切为了人民、一切依靠人民，从群众中来、到群众中去，深入实际、深入基层，真诚倾听群众呼声、真实反映群众愿望、真情关心群众疾苦，听真话、察实情，有一是一、有二是二，既报喜又报忧，掌握真实情况和民情民意。提高政治站位“谋良策”，站在新时代新征程党和国家事业发展全局的战略高度，牢记习近平总书记“让老林区焕发青春活力”的政治嘱托，置身全国全省全市全区发展大背景、大环境、大格局来研究工作，从服务国家、省、市、区战略需要出发，从人民群众创造性实践中汲取智慧和力量，把握好全局和局部、当前和长远、宏观和微观、主要矛盾和次要矛盾、特殊和一般的关系，加强前瞻性思考、全局性谋划、整体性推进，形成保生态、抓发展、促改革、保稳定、惠民生的新思路新办法。敢于斗争碰硬“破难题”，增强问题意识，敢于正视问题、善于发现问题，以解决问题为根本目的，直奔问题去，实行问题大梳理、难题大排查，深入查找分析问题短板及其根源，发扬斗争精神，增强斗争本领，直面矛盾、敢于攻坚，勇于涉险滩、破难题，推动解决一批发展所需、改革所急、基层所盼、民心所向的实际问题。勇担发展使命“促振兴”，聚焦答好“林区三问”政治答卷，围绕建设“六个龙江”、推进“八个振兴”目标任务，牢牢把握市委“生态立市、旅游强市”发展定位，积极践行区委“生态为根、产业为魂、民生为本、和谐为源”发展思路，深化区情认识，挖掘潜力，在全省构建“4567”现代化产业体系和全市构建“1234”现代生态产业体系布局中找准方向和定位，加快建设“1+3+4”现代生态产业体系，以友好全面振兴全方位振兴新成效检验调查研究成果。</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三、重点内容</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政府各级领导干部</w:t>
      </w:r>
      <w:r>
        <w:rPr>
          <w:rFonts w:hint="eastAsia" w:ascii="仿宋_GB2312" w:hAnsi="仿宋_GB2312" w:eastAsia="仿宋_GB2312" w:cs="仿宋_GB2312"/>
          <w:color w:val="auto"/>
          <w:sz w:val="32"/>
          <w:szCs w:val="32"/>
          <w:lang w:val="en-US" w:eastAsia="zh-CN"/>
        </w:rPr>
        <w:t>要紧紧围绕全面贯彻落实党的二十大精神、推动高质量发展，从本领域本部门本单位的职能出发，围绕做好事关全局的战略性调研、破解复杂难题的对策性调研、新时代新情况的前瞻性调研、重大工作项目的跟踪性调研、典型案例的解剖式调研、推动落实的督查式调研，突出重点、直击要害，结合实际细化实化调研内容，聚焦12个方面的主要情况和重点问题开展调研。</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1.贯彻落实习近平总书记重要讲话重要指示批示精神特别是对东北地区和黑龙江重要讲话重要指示精神以及对伊春乃至友好特指要求，党中央决策部署和省委、市委、区委工作要求等方面的主要情况和重点问题。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贯彻新发展理念、服务和融入构建新发展格局、推动高质量发展中的重大问题，聚焦建设“质量龙江”，实施扩大内需战略、深化供给侧结构性改革、围绕全省构建“4567”现代化产业体系和全市构建“1234”现代生态产业体系，聚焦建设“1+3+4”现代生态产业体系，深耕森林生态旅游主业，壮大农林特色产业、现代纺织业、医疗健康产业等优势产业，打造数字经济、生物经济、冰雪经济和创意设计引擎等方面的主要情况和重点问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统筹发展和安全，贯彻落实总体国家安全观，坚决维护国家国防安全、粮食安全、生态安全、能源安全、产业安全，坚决守好祖国“北大门”，确保生产、食品药品、公共卫生等安全，防范化解重大经济金融风险中的主要情况和重点问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服务国家高水平科技自立自强中的重大问题，聚焦建设“创新龙江”，协同推进创新平台、创新能力、创新生态建设，加快关键核心技术攻关、推动科技成果转化，聚焦新一轮科技型企业三年行动计划，创办科技型企业，培育壮大科技创新主体，加快培育高新技术企业，实现科技型企业数量和质量“双提升”；落实“新时代龙江人才振兴60条”政策，实施科教振兴、人才振兴计划等方面的主要情况和重点问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全面深化改革中的重大问题，聚焦建设“开放龙江”，推进重要领域和关键环节改革，推进理念开放、要素开放、产业开放、制度开放，聚焦破解深层次体制机制障碍，统筹推进经济体制、现代农业、民主法制、党的建设等重点领域改革，全面释放改革新活力等方面的主要情况和重点问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6.全面依法治国中的重大问题，推进依法行政、严格公正司法，优化公共法律服务供给，完善维护社会公平的法治保障体系，建设更高水平的法治友好等主要情况和重点问题。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7.意识形态领域面临的挑战，推进文化自信自强、丰富群众精神文化生活，加强新闻舆论引导、网格综合治理，实施文化振兴计划中的主要情况和重点问题。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推进共同富裕、增进民生福祉、在发展中保障和改善民生的重大问题，聚焦建设“幸福龙江”，巩固拓展脱贫攻坚成果、统筹推进乡村振兴，缩小城乡区域发展差距和收入分配差距，解决人民群众最关心最直接最现实的利益问题，特别是就业、教育、医疗、托育、养老、住房等群众急难愁盼的具体问题，实施区域振兴、民生振兴计划中的主要情况和重点问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牢固树立和践行“绿水青山就是金山银山、冰天雪地也是金山银山”理念，聚焦建设“绿色龙江”，围绕加快推进“一区两地三城”建设和“双振兴”，锚定打造“绿水青山就是金山银山，冰天雪地也是金山银山”实践地，持续打好污染防治攻坚战，加强山水林田湖草沙一体化保护和修复，稳步推进碳达峰碳中和，促进生态价值向经济价值转化，实施生态振兴计划中的主要情况和重点问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加强和创新基层社会治理、维护社会稳定中的重大问题，解决防灾减灾救灾和重大突发公共事件处置保障短板，处理新形势下人民内部矛盾和强化社会治安整体防控，建设更高水平的平安友好的主要情况和重点问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全面从严治党中的重大问题，聚焦建设“勤廉龙江”，落实党的领导弱化虚化淡化、党组织政治功能和组织功能不够强，干事创业精气神不足、不担当不作为，应对“黑天鹅”、“灰犀牛”事件和防范化解风险能力不强，形式主义、官僚主义，特权思想和特权行为等重点问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12.习近平总书记最新重要讲话和重要指示批示精神、党中央最新重要决策部署和省委、市委、区委工作要求贯彻落实的主要情况和重点，以及本领域本部门本单位长期未解决的老大难问题。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四、方法步骤</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区政府系统大调研活动主要分为6个步骤。</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（一）深化理论学习、提高思想认识。</w:t>
      </w:r>
      <w:r>
        <w:rPr>
          <w:rFonts w:hint="eastAsia" w:ascii="仿宋_GB2312" w:hAnsi="仿宋_GB2312" w:eastAsia="仿宋_GB2312" w:cs="仿宋_GB2312"/>
          <w:color w:val="auto"/>
          <w:sz w:val="32"/>
          <w:szCs w:val="32"/>
          <w:lang w:val="en-US" w:eastAsia="zh-CN"/>
        </w:rPr>
        <w:t>政府党组要采取“第一议题”、集体学习、、专题辅导等形式，组织政府系统党员、干部深入学习领会习近平总书记关于调查研究的重要论述，学习习近平总书记对东北地区和黑龙江重要讲话重要指示精神以及对伊春乃至友好特指要求，继承和发扬老一辈革命家深入基层阶层调查研究的优良作风，增强做好调查研究的思想自觉、政治自觉、行动自觉。</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（二）紧贴实际选题、细化具体方案。</w:t>
      </w:r>
      <w:r>
        <w:rPr>
          <w:rFonts w:hint="eastAsia" w:ascii="仿宋_GB2312" w:hAnsi="仿宋_GB2312" w:eastAsia="仿宋_GB2312" w:cs="仿宋_GB2312"/>
          <w:b w:val="0"/>
          <w:bCs w:val="0"/>
          <w:color w:val="auto"/>
          <w:sz w:val="32"/>
          <w:szCs w:val="32"/>
          <w:lang w:val="en-US" w:eastAsia="zh-CN"/>
        </w:rPr>
        <w:t>政府各级领导干部要围绕调研内容，结合本领域本部门本单位实际，广泛听取各方面意见，研究制定调查研究的具体方案，明确调研的项目课题、方式方法和工作要求等，统筹安排、合理确定调研的时间、地点。于6月上旬由主要负责同志主持制定领导班子开展调查研究的具体方案。政府处级以上领导班子成员每人牵头1个调研课题，报经主要负责同志审定后开展调研，同时针对相关领域或工作中最突出的难点问题进行专题调研。</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（三）下沉基层一线，注重实地调研。</w:t>
      </w:r>
      <w:r>
        <w:rPr>
          <w:rFonts w:hint="eastAsia" w:ascii="仿宋_GB2312" w:hAnsi="仿宋_GB2312" w:eastAsia="仿宋_GB2312" w:cs="仿宋_GB2312"/>
          <w:b w:val="0"/>
          <w:bCs w:val="0"/>
          <w:color w:val="auto"/>
          <w:sz w:val="32"/>
          <w:szCs w:val="32"/>
          <w:lang w:val="en-US" w:eastAsia="zh-CN"/>
        </w:rPr>
        <w:t>政府各级领导干部要开展沉浸式调研，深入农村、社区、企业、医院、学校、新经济组织、新社会组织等基层单位，掌握实情、把脉问诊，问计于群众、问计于实践。深化体验式调研，转换角色、走进群众，持续推进“走流程、办实事”，政府处级领导干部每年至少2次、处级以下领导干部每季度至少1次亲身体验工作对象、服务对象的办事流程，了解群众的烦心事操心事揪心事，发现和查找工作中的差距不足。注重解剖式调研，针对影响工作质效的“低粗差”问题，开展典型案例评查复盘，分析问题、剖析原因、总结教训，举一反三采取改进措施。加强督查式调研，紧盯重大决策、重要任务、重点项目推进落实情况严督实导、以导带督，打通贯彻执行中的堵点淤点难点，推动各项工作部署落地生效。8月上旬前初步完成调研，后续可根据工作需要进行补充调研。</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（四）认真分析研究、形成对策措施。</w:t>
      </w:r>
      <w:r>
        <w:rPr>
          <w:rFonts w:hint="eastAsia" w:ascii="仿宋_GB2312" w:hAnsi="仿宋_GB2312" w:eastAsia="仿宋_GB2312" w:cs="仿宋_GB2312"/>
          <w:b w:val="0"/>
          <w:bCs w:val="0"/>
          <w:color w:val="auto"/>
          <w:sz w:val="32"/>
          <w:szCs w:val="32"/>
          <w:lang w:val="en-US" w:eastAsia="zh-CN"/>
        </w:rPr>
        <w:t>调研结束后，全面梳理汇总调研情况，运用习近平新时代中国特色社会主义思想的世界观、方法论和贯穿其中的立场观点方法，对调研材料进行去粗取精、去伪存真、由此及彼、由表及里地思考、分析、综合，把握事务发展趋势和矛盾运动规律，充分讨论和科学决策，撰写调研报告，形成高质量调研成果。特别是对那些具有普遍性和制度性的问题、涉及改革发展稳定的深层次关键性问题，以及难题积案和顽瘴痼疾等，要研究透彻、找准根源和症结。在此基础上，政府领导班子要在9月底前召开专题研讨会，交流调研情况，研究对策措施，形成解决问题、促进工作的思路办法和政策举措。</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（五）抓好成果转化、推动问题解决。</w:t>
      </w:r>
      <w:r>
        <w:rPr>
          <w:rFonts w:hint="eastAsia" w:ascii="仿宋_GB2312" w:hAnsi="仿宋_GB2312" w:eastAsia="仿宋_GB2312" w:cs="仿宋_GB2312"/>
          <w:b w:val="0"/>
          <w:bCs w:val="0"/>
          <w:color w:val="auto"/>
          <w:sz w:val="32"/>
          <w:szCs w:val="32"/>
          <w:lang w:val="en-US" w:eastAsia="zh-CN"/>
        </w:rPr>
        <w:t>政府各级领导干部对调研中发现的问题和群众反映的诉求，要区分短期尽快解决和长期持续推进，10月底前，列出问题清单、责任清单、任务清单，明确解决措施、责任单位、责任人和完成时限。要坚持一竿子插到底，推动问题整改、对策落实，防止问题层层交办、转办。对短期能够解决的，立行立改、马上就办。对一时难以解决、需要持续推进的明确目标，紧盯不放，一抓到底。对表现在基层、根子在上面的问题，对涉及多个领域或部门单位的问题，坚持条块结合、上下联动，多方协同、整体推动，做到问题不解决不松劲、解决不彻底不放手。</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（六）强化督查回访、持续检验成效。</w:t>
      </w:r>
      <w:r>
        <w:rPr>
          <w:rFonts w:hint="eastAsia" w:ascii="仿宋_GB2312" w:hAnsi="仿宋_GB2312" w:eastAsia="仿宋_GB2312" w:cs="仿宋_GB2312"/>
          <w:b w:val="0"/>
          <w:bCs w:val="0"/>
          <w:color w:val="auto"/>
          <w:sz w:val="32"/>
          <w:szCs w:val="32"/>
          <w:lang w:val="en-US" w:eastAsia="zh-CN"/>
        </w:rPr>
        <w:t>政府各级领导干部要建立调研成果转化运用清单，加强对调研课题完成情况、问题解决情况督查督办和跟踪问效，确保件件有着落、事事有回音。领导干部要定期对调研对象和解决问题等事项进行回访，及时反馈进展成效，注意发现和解决新的问题。要总结提炼调查研究的有效做法和成功经验，完善调查研究的长效机制，彻底根除老问题、动态解决新问题。</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五、工作要求</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政府各级领导干部</w:t>
      </w:r>
      <w:r>
        <w:rPr>
          <w:rFonts w:hint="eastAsia" w:ascii="仿宋_GB2312" w:hAnsi="仿宋_GB2312" w:eastAsia="仿宋_GB2312" w:cs="仿宋_GB2312"/>
          <w:color w:val="auto"/>
          <w:sz w:val="32"/>
          <w:szCs w:val="32"/>
          <w:lang w:val="en-US" w:eastAsia="zh-CN"/>
        </w:rPr>
        <w:t>要充分运用“四个体系”闭环工作落实机制，高标准推动大调研活动落地见效。</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（一）压实领导责任。</w:t>
      </w:r>
      <w:r>
        <w:rPr>
          <w:rFonts w:hint="eastAsia" w:ascii="仿宋_GB2312" w:hAnsi="仿宋_GB2312" w:eastAsia="仿宋_GB2312" w:cs="仿宋_GB2312"/>
          <w:b w:val="0"/>
          <w:bCs w:val="0"/>
          <w:color w:val="auto"/>
          <w:sz w:val="32"/>
          <w:szCs w:val="32"/>
          <w:lang w:val="en-US" w:eastAsia="zh-CN"/>
        </w:rPr>
        <w:t>要高度重视、专门部署，科学制定方案、认真组织实施、搞好监督问效。政府主要负责人是第一责任人，要认真抓好调查研究的推进实施，确保组织到位、措施到位、落实到位。其他领导班子成员要各负其责，抓好分管领域和分管单位的调查研究工作，确保调查研究扎实有序开展。领导干部要加强和改进调查研究工作，以上率下，作出示范。</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（二）加强工作推进。</w:t>
      </w:r>
      <w:r>
        <w:rPr>
          <w:rFonts w:hint="eastAsia" w:ascii="仿宋_GB2312" w:hAnsi="仿宋_GB2312" w:eastAsia="仿宋_GB2312" w:cs="仿宋_GB2312"/>
          <w:b w:val="0"/>
          <w:bCs w:val="0"/>
          <w:color w:val="auto"/>
          <w:sz w:val="32"/>
          <w:szCs w:val="32"/>
          <w:lang w:val="en-US" w:eastAsia="zh-CN"/>
        </w:rPr>
        <w:t>要多采取“四不两直”方式，走出办公室倾听意见呼声，深入基层找办法破难题。要多到困难多、群众意见集中、工作打不开局面的部门和单位，聚焦制约振兴发展、影响民生福祉、阻碍工作落实的突出问题开展实地调研，防止嫌贫爱富式调研。要坚持因地制宜，综合运用座谈访谈、随机走访、问卷调查、专家调查、抽样调查、统计分析等方式，充分运用互联网、大数据等现代信息技术开展调查研究，提高针对性和实效性。要加强调研工作的统筹调度，鼓励部门联合、上下联动，集中会诊、现场办公，避免扎堆调研、多头调研、重复调研，不折腾基层、不增加基层负担。要在调查的基础上深化研究，防止调查多研究少、情况多分析少，提出的对策建议大而化之、空洞抽象、不解决实际问题。</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（三）严格督导检查。</w:t>
      </w:r>
      <w:r>
        <w:rPr>
          <w:rFonts w:hint="eastAsia" w:ascii="仿宋_GB2312" w:hAnsi="仿宋_GB2312" w:eastAsia="仿宋_GB2312" w:cs="仿宋_GB2312"/>
          <w:b w:val="0"/>
          <w:bCs w:val="0"/>
          <w:color w:val="auto"/>
          <w:sz w:val="32"/>
          <w:szCs w:val="32"/>
          <w:lang w:val="en-US" w:eastAsia="zh-CN"/>
        </w:rPr>
        <w:t>要把大调研活动开展情况纳入主题教育和全区深化能力作风建设“工作落实年”活动的督查重点，通过随机抽查、调研访谈等方式，对各领域各部门各单位调查研究情况进行督导问效。要严明调研工作纪律，严格执行中央八项规定及其实施细则精神，轻车简从、厉行节约，不搞层层陪同，力戒形式主义、官僚主义，不搞作秀式、盆景式和蜻蜓点水式调研，防止走过场、不深入。对违反作风建设要求和廉洁自律规定，依规依纪严肃问责。</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（四）从严考核评价。</w:t>
      </w:r>
      <w:r>
        <w:rPr>
          <w:rFonts w:hint="eastAsia" w:ascii="仿宋_GB2312" w:hAnsi="仿宋_GB2312" w:eastAsia="仿宋_GB2312" w:cs="仿宋_GB2312"/>
          <w:b w:val="0"/>
          <w:bCs w:val="0"/>
          <w:color w:val="auto"/>
          <w:sz w:val="32"/>
          <w:szCs w:val="32"/>
          <w:lang w:val="en-US" w:eastAsia="zh-CN"/>
        </w:rPr>
        <w:t>要充分发挥考核指挥棒作用，把大调研活动开展情况作为领导班子和领导干部年度考核、干部考察的重要内容，坚持过程评价与总结评估相结合，重点看调研接地气情况、难题破解情况、成果转化情况、长效机制建立情况、群众获得感和满意度情况。加强考核结构运用，纳入领导干部实绩表现正负面清单，作为领导干部选拔任用、评先晋优的重要参考，充分调动广大党员、干部参与大调研活动的积极性主动性创造性。</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default" w:ascii="仿宋_GB2312" w:hAnsi="仿宋_GB2312" w:eastAsia="仿宋_GB2312" w:cs="仿宋_GB2312"/>
          <w:b/>
          <w:bCs/>
          <w:color w:val="auto"/>
          <w:sz w:val="32"/>
          <w:szCs w:val="32"/>
          <w:u w:val="none" w:color="auto"/>
          <w:lang w:val="en-US" w:eastAsia="zh-CN"/>
        </w:rPr>
      </w:pPr>
      <w:r>
        <w:rPr>
          <w:rFonts w:hint="eastAsia" w:ascii="楷体_GB2312" w:hAnsi="楷体_GB2312" w:eastAsia="楷体_GB2312" w:cs="楷体_GB2312"/>
          <w:b/>
          <w:bCs/>
          <w:color w:val="auto"/>
          <w:sz w:val="32"/>
          <w:szCs w:val="32"/>
          <w:lang w:val="en-US" w:eastAsia="zh-CN"/>
        </w:rPr>
        <w:t>（五）做好宣传引导。</w:t>
      </w:r>
      <w:r>
        <w:rPr>
          <w:rFonts w:hint="eastAsia" w:ascii="仿宋_GB2312" w:hAnsi="仿宋_GB2312" w:eastAsia="仿宋_GB2312" w:cs="仿宋_GB2312"/>
          <w:b w:val="0"/>
          <w:bCs w:val="0"/>
          <w:color w:val="auto"/>
          <w:sz w:val="32"/>
          <w:szCs w:val="32"/>
          <w:lang w:val="en-US" w:eastAsia="zh-CN"/>
        </w:rPr>
        <w:t>要充分运用各种媒体，采取多种方式大力宣传大兴调查研究的重要意义和各领域各部门各单位大兴调查研究的具体举措、实际成效。对涉及群众利益和社会关注度较高领域的调查研究，要持续跟踪宣传报道；注重推广复制调研过程中形成的典型经验和制度成果，凝聚起大兴调查研究的共识和力量，使调查研究成为党员、干部的经常性工作，在政府系统蔚然成风、产生实效。</w:t>
      </w:r>
    </w:p>
    <w:p>
      <w:pPr>
        <w:rPr>
          <w:rFonts w:hint="default"/>
          <w:lang w:val="en-US" w:eastAsia="zh-CN"/>
        </w:rPr>
      </w:pPr>
      <w:bookmarkStart w:id="0" w:name="_GoBack"/>
      <w:bookmarkEnd w:id="0"/>
    </w:p>
    <w:sectPr>
      <w:footerReference r:id="rId5" w:type="first"/>
      <w:footerReference r:id="rId3" w:type="default"/>
      <w:footerReference r:id="rId4" w:type="even"/>
      <w:pgSz w:w="11906" w:h="16838"/>
      <w:pgMar w:top="2098" w:right="1474" w:bottom="1984" w:left="1587" w:header="851" w:footer="147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107" o:spid="_x0000_s410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108" o:spid="_x0000_s410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109" o:spid="_x0000_s410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NkMzcxM2Q2MTNhYjFlYjZlZDgxY2Y5OWFmYzIxOGUifQ=="/>
  </w:docVars>
  <w:rsids>
    <w:rsidRoot w:val="002256D7"/>
    <w:rsid w:val="00014E2F"/>
    <w:rsid w:val="0004705C"/>
    <w:rsid w:val="0005234C"/>
    <w:rsid w:val="00060410"/>
    <w:rsid w:val="00070224"/>
    <w:rsid w:val="0007230D"/>
    <w:rsid w:val="0007376F"/>
    <w:rsid w:val="000A1636"/>
    <w:rsid w:val="000C55E8"/>
    <w:rsid w:val="000D37A2"/>
    <w:rsid w:val="00111594"/>
    <w:rsid w:val="00122C96"/>
    <w:rsid w:val="0012401A"/>
    <w:rsid w:val="001421A9"/>
    <w:rsid w:val="00143860"/>
    <w:rsid w:val="00146D1D"/>
    <w:rsid w:val="00146FDA"/>
    <w:rsid w:val="00153070"/>
    <w:rsid w:val="0016681B"/>
    <w:rsid w:val="00175E9B"/>
    <w:rsid w:val="00194701"/>
    <w:rsid w:val="001A7078"/>
    <w:rsid w:val="001B2756"/>
    <w:rsid w:val="002256D7"/>
    <w:rsid w:val="002317CD"/>
    <w:rsid w:val="002450E0"/>
    <w:rsid w:val="002734CE"/>
    <w:rsid w:val="00283566"/>
    <w:rsid w:val="00294D92"/>
    <w:rsid w:val="002A1640"/>
    <w:rsid w:val="002A3909"/>
    <w:rsid w:val="002B6DE1"/>
    <w:rsid w:val="002B6FA1"/>
    <w:rsid w:val="002C0379"/>
    <w:rsid w:val="002C6C85"/>
    <w:rsid w:val="002E0916"/>
    <w:rsid w:val="003017D4"/>
    <w:rsid w:val="00325FB1"/>
    <w:rsid w:val="003311E9"/>
    <w:rsid w:val="003319FC"/>
    <w:rsid w:val="003645B6"/>
    <w:rsid w:val="0036478F"/>
    <w:rsid w:val="00387EBF"/>
    <w:rsid w:val="00390588"/>
    <w:rsid w:val="003A2432"/>
    <w:rsid w:val="003C574A"/>
    <w:rsid w:val="003E0E02"/>
    <w:rsid w:val="003E687C"/>
    <w:rsid w:val="003F3CE6"/>
    <w:rsid w:val="003F3EFF"/>
    <w:rsid w:val="003F714D"/>
    <w:rsid w:val="003F7B60"/>
    <w:rsid w:val="00401EC8"/>
    <w:rsid w:val="00406075"/>
    <w:rsid w:val="00416922"/>
    <w:rsid w:val="00417992"/>
    <w:rsid w:val="00444575"/>
    <w:rsid w:val="00491D24"/>
    <w:rsid w:val="004C0DEB"/>
    <w:rsid w:val="004C58EC"/>
    <w:rsid w:val="004D666E"/>
    <w:rsid w:val="0052038D"/>
    <w:rsid w:val="00521394"/>
    <w:rsid w:val="005443C5"/>
    <w:rsid w:val="00550E3E"/>
    <w:rsid w:val="005564A1"/>
    <w:rsid w:val="0056217C"/>
    <w:rsid w:val="00566C40"/>
    <w:rsid w:val="00575F16"/>
    <w:rsid w:val="0058226F"/>
    <w:rsid w:val="00582E2D"/>
    <w:rsid w:val="005858E7"/>
    <w:rsid w:val="00595087"/>
    <w:rsid w:val="005A29E9"/>
    <w:rsid w:val="005B280A"/>
    <w:rsid w:val="005B3E09"/>
    <w:rsid w:val="005C7BDB"/>
    <w:rsid w:val="005E3250"/>
    <w:rsid w:val="005F4639"/>
    <w:rsid w:val="006068F0"/>
    <w:rsid w:val="00612B87"/>
    <w:rsid w:val="00623D88"/>
    <w:rsid w:val="00627BE9"/>
    <w:rsid w:val="00635589"/>
    <w:rsid w:val="0064099F"/>
    <w:rsid w:val="006419B7"/>
    <w:rsid w:val="00642DCF"/>
    <w:rsid w:val="00650CB2"/>
    <w:rsid w:val="0065407C"/>
    <w:rsid w:val="006761DB"/>
    <w:rsid w:val="00694680"/>
    <w:rsid w:val="006C7F6C"/>
    <w:rsid w:val="006D05E4"/>
    <w:rsid w:val="006D75A0"/>
    <w:rsid w:val="006E6949"/>
    <w:rsid w:val="006E6AF8"/>
    <w:rsid w:val="006F44D7"/>
    <w:rsid w:val="007010B8"/>
    <w:rsid w:val="00711BD1"/>
    <w:rsid w:val="00712F42"/>
    <w:rsid w:val="00713810"/>
    <w:rsid w:val="007321EF"/>
    <w:rsid w:val="007336D0"/>
    <w:rsid w:val="00751C06"/>
    <w:rsid w:val="00764959"/>
    <w:rsid w:val="0077485C"/>
    <w:rsid w:val="00785989"/>
    <w:rsid w:val="00790530"/>
    <w:rsid w:val="007B3C17"/>
    <w:rsid w:val="007B5484"/>
    <w:rsid w:val="007C700B"/>
    <w:rsid w:val="007C79EA"/>
    <w:rsid w:val="007D3081"/>
    <w:rsid w:val="007F0DC8"/>
    <w:rsid w:val="007F5F3F"/>
    <w:rsid w:val="00810FED"/>
    <w:rsid w:val="00822CBA"/>
    <w:rsid w:val="008253B4"/>
    <w:rsid w:val="00830CAF"/>
    <w:rsid w:val="00833D76"/>
    <w:rsid w:val="00835DE8"/>
    <w:rsid w:val="00851FC6"/>
    <w:rsid w:val="008860D4"/>
    <w:rsid w:val="00892F8D"/>
    <w:rsid w:val="008973BF"/>
    <w:rsid w:val="008A51AA"/>
    <w:rsid w:val="008B2003"/>
    <w:rsid w:val="008B36A1"/>
    <w:rsid w:val="008C1673"/>
    <w:rsid w:val="008E4FBD"/>
    <w:rsid w:val="0090462B"/>
    <w:rsid w:val="0091761A"/>
    <w:rsid w:val="0093166F"/>
    <w:rsid w:val="00934DEB"/>
    <w:rsid w:val="00935C55"/>
    <w:rsid w:val="0094393F"/>
    <w:rsid w:val="00964B80"/>
    <w:rsid w:val="00974849"/>
    <w:rsid w:val="00983059"/>
    <w:rsid w:val="0098668B"/>
    <w:rsid w:val="009873BD"/>
    <w:rsid w:val="009A5A08"/>
    <w:rsid w:val="009B0B99"/>
    <w:rsid w:val="009B1471"/>
    <w:rsid w:val="009B2134"/>
    <w:rsid w:val="009B40A4"/>
    <w:rsid w:val="009C34C2"/>
    <w:rsid w:val="009E5532"/>
    <w:rsid w:val="009F5F3B"/>
    <w:rsid w:val="00A03AAF"/>
    <w:rsid w:val="00A17755"/>
    <w:rsid w:val="00A21B16"/>
    <w:rsid w:val="00A27A15"/>
    <w:rsid w:val="00A32A7C"/>
    <w:rsid w:val="00A423F9"/>
    <w:rsid w:val="00A520D4"/>
    <w:rsid w:val="00A5216C"/>
    <w:rsid w:val="00A5396D"/>
    <w:rsid w:val="00A5411A"/>
    <w:rsid w:val="00A54D02"/>
    <w:rsid w:val="00A6137B"/>
    <w:rsid w:val="00A65443"/>
    <w:rsid w:val="00A86211"/>
    <w:rsid w:val="00A90014"/>
    <w:rsid w:val="00AB0769"/>
    <w:rsid w:val="00AB0AFA"/>
    <w:rsid w:val="00AB3C67"/>
    <w:rsid w:val="00AC4B7A"/>
    <w:rsid w:val="00AD4285"/>
    <w:rsid w:val="00AD4340"/>
    <w:rsid w:val="00AD5BCB"/>
    <w:rsid w:val="00AD7F27"/>
    <w:rsid w:val="00AF2BE1"/>
    <w:rsid w:val="00B140B2"/>
    <w:rsid w:val="00B152E2"/>
    <w:rsid w:val="00B3189F"/>
    <w:rsid w:val="00B47074"/>
    <w:rsid w:val="00B65885"/>
    <w:rsid w:val="00B70464"/>
    <w:rsid w:val="00B72740"/>
    <w:rsid w:val="00B734E8"/>
    <w:rsid w:val="00B829CE"/>
    <w:rsid w:val="00B84766"/>
    <w:rsid w:val="00B920C3"/>
    <w:rsid w:val="00BA293D"/>
    <w:rsid w:val="00BB32F3"/>
    <w:rsid w:val="00BB75DE"/>
    <w:rsid w:val="00BD5258"/>
    <w:rsid w:val="00C00EB3"/>
    <w:rsid w:val="00C1297B"/>
    <w:rsid w:val="00C12AC7"/>
    <w:rsid w:val="00C22A97"/>
    <w:rsid w:val="00C31277"/>
    <w:rsid w:val="00C83FAE"/>
    <w:rsid w:val="00C858FE"/>
    <w:rsid w:val="00CB6C13"/>
    <w:rsid w:val="00CC17B8"/>
    <w:rsid w:val="00CF3E32"/>
    <w:rsid w:val="00D05D0C"/>
    <w:rsid w:val="00D12B3B"/>
    <w:rsid w:val="00D17E61"/>
    <w:rsid w:val="00D439DB"/>
    <w:rsid w:val="00D440C1"/>
    <w:rsid w:val="00D53502"/>
    <w:rsid w:val="00D6109D"/>
    <w:rsid w:val="00D91DA0"/>
    <w:rsid w:val="00D95BDB"/>
    <w:rsid w:val="00DB266E"/>
    <w:rsid w:val="00DB65E1"/>
    <w:rsid w:val="00DB75B6"/>
    <w:rsid w:val="00DE0FD5"/>
    <w:rsid w:val="00DE5BAD"/>
    <w:rsid w:val="00E25C3F"/>
    <w:rsid w:val="00E31F8F"/>
    <w:rsid w:val="00E34AB3"/>
    <w:rsid w:val="00E36E25"/>
    <w:rsid w:val="00E4440C"/>
    <w:rsid w:val="00E47287"/>
    <w:rsid w:val="00E73317"/>
    <w:rsid w:val="00E741EA"/>
    <w:rsid w:val="00E75527"/>
    <w:rsid w:val="00E80D2E"/>
    <w:rsid w:val="00E80DD1"/>
    <w:rsid w:val="00E826C8"/>
    <w:rsid w:val="00E87CA6"/>
    <w:rsid w:val="00E90BD1"/>
    <w:rsid w:val="00E929E8"/>
    <w:rsid w:val="00E93025"/>
    <w:rsid w:val="00EB2F42"/>
    <w:rsid w:val="00EC04B6"/>
    <w:rsid w:val="00EC5C16"/>
    <w:rsid w:val="00ED20EA"/>
    <w:rsid w:val="00ED4DFD"/>
    <w:rsid w:val="00ED6762"/>
    <w:rsid w:val="00EE19F7"/>
    <w:rsid w:val="00EE3F3B"/>
    <w:rsid w:val="00EE70F1"/>
    <w:rsid w:val="00EE7176"/>
    <w:rsid w:val="00EF2E3F"/>
    <w:rsid w:val="00F16ECE"/>
    <w:rsid w:val="00F420B9"/>
    <w:rsid w:val="00F944A1"/>
    <w:rsid w:val="00FB0259"/>
    <w:rsid w:val="00FB0EA7"/>
    <w:rsid w:val="00FC251C"/>
    <w:rsid w:val="00FE24E2"/>
    <w:rsid w:val="00FE7615"/>
    <w:rsid w:val="01810834"/>
    <w:rsid w:val="02610CAD"/>
    <w:rsid w:val="02656B9D"/>
    <w:rsid w:val="043D3671"/>
    <w:rsid w:val="054D3F9A"/>
    <w:rsid w:val="06E859CD"/>
    <w:rsid w:val="07705D89"/>
    <w:rsid w:val="0857324C"/>
    <w:rsid w:val="09D170EA"/>
    <w:rsid w:val="0A5D4F46"/>
    <w:rsid w:val="0E295C81"/>
    <w:rsid w:val="0E9F3A30"/>
    <w:rsid w:val="0ED57D9E"/>
    <w:rsid w:val="112E1519"/>
    <w:rsid w:val="11F96CE6"/>
    <w:rsid w:val="13AE504E"/>
    <w:rsid w:val="13FC61B5"/>
    <w:rsid w:val="1403768F"/>
    <w:rsid w:val="148365E2"/>
    <w:rsid w:val="156530B4"/>
    <w:rsid w:val="159F2B8D"/>
    <w:rsid w:val="15A70138"/>
    <w:rsid w:val="15A964D8"/>
    <w:rsid w:val="15C70A44"/>
    <w:rsid w:val="17DD7C18"/>
    <w:rsid w:val="18356139"/>
    <w:rsid w:val="18A80485"/>
    <w:rsid w:val="19392E25"/>
    <w:rsid w:val="196B22E9"/>
    <w:rsid w:val="1BB24E4D"/>
    <w:rsid w:val="1C1E5271"/>
    <w:rsid w:val="1C3979EF"/>
    <w:rsid w:val="1F223480"/>
    <w:rsid w:val="1FDC6C7F"/>
    <w:rsid w:val="200F7E0F"/>
    <w:rsid w:val="20B53ACA"/>
    <w:rsid w:val="214B5E88"/>
    <w:rsid w:val="22C2361B"/>
    <w:rsid w:val="27632CAC"/>
    <w:rsid w:val="27A31C9A"/>
    <w:rsid w:val="27E223C8"/>
    <w:rsid w:val="281413F5"/>
    <w:rsid w:val="28210866"/>
    <w:rsid w:val="2A87085C"/>
    <w:rsid w:val="2B6108CF"/>
    <w:rsid w:val="2CC61FD5"/>
    <w:rsid w:val="2D510EC7"/>
    <w:rsid w:val="2E516A26"/>
    <w:rsid w:val="2F054DCD"/>
    <w:rsid w:val="2F6C0A3F"/>
    <w:rsid w:val="2FFE21B5"/>
    <w:rsid w:val="32B4346C"/>
    <w:rsid w:val="32C07178"/>
    <w:rsid w:val="32E4088E"/>
    <w:rsid w:val="33E90499"/>
    <w:rsid w:val="348C38AB"/>
    <w:rsid w:val="351E2A2A"/>
    <w:rsid w:val="36810D21"/>
    <w:rsid w:val="36823371"/>
    <w:rsid w:val="37695170"/>
    <w:rsid w:val="37B11C6E"/>
    <w:rsid w:val="3A021FEB"/>
    <w:rsid w:val="3B3E3F72"/>
    <w:rsid w:val="3C3E6F74"/>
    <w:rsid w:val="3D863CE4"/>
    <w:rsid w:val="3D9C4AC3"/>
    <w:rsid w:val="3D9D27E6"/>
    <w:rsid w:val="3D9E0CAB"/>
    <w:rsid w:val="3EC800DD"/>
    <w:rsid w:val="40387D31"/>
    <w:rsid w:val="40D765E1"/>
    <w:rsid w:val="435B4053"/>
    <w:rsid w:val="439F3019"/>
    <w:rsid w:val="44770E3A"/>
    <w:rsid w:val="46DD23EC"/>
    <w:rsid w:val="475C7AA3"/>
    <w:rsid w:val="47794760"/>
    <w:rsid w:val="47FE7A46"/>
    <w:rsid w:val="482F1757"/>
    <w:rsid w:val="49765032"/>
    <w:rsid w:val="4ABA1761"/>
    <w:rsid w:val="4AC3412C"/>
    <w:rsid w:val="4C531C30"/>
    <w:rsid w:val="4C9F4712"/>
    <w:rsid w:val="4DE77781"/>
    <w:rsid w:val="4E3B139F"/>
    <w:rsid w:val="504C75A7"/>
    <w:rsid w:val="50D612D7"/>
    <w:rsid w:val="520F0E49"/>
    <w:rsid w:val="53463B1C"/>
    <w:rsid w:val="53EA6BBE"/>
    <w:rsid w:val="544E66AD"/>
    <w:rsid w:val="550A7655"/>
    <w:rsid w:val="554D3CAC"/>
    <w:rsid w:val="55762BCE"/>
    <w:rsid w:val="55920F32"/>
    <w:rsid w:val="56576C9F"/>
    <w:rsid w:val="57CC1AAA"/>
    <w:rsid w:val="58C90D49"/>
    <w:rsid w:val="5962792D"/>
    <w:rsid w:val="597C74DD"/>
    <w:rsid w:val="5B732463"/>
    <w:rsid w:val="5BAC5322"/>
    <w:rsid w:val="5E5F28F1"/>
    <w:rsid w:val="5FA54FF9"/>
    <w:rsid w:val="5FF610C2"/>
    <w:rsid w:val="603454B2"/>
    <w:rsid w:val="60BC6E83"/>
    <w:rsid w:val="62205B2C"/>
    <w:rsid w:val="62364D19"/>
    <w:rsid w:val="64D30EB0"/>
    <w:rsid w:val="67AD2596"/>
    <w:rsid w:val="67EC0793"/>
    <w:rsid w:val="696877BF"/>
    <w:rsid w:val="6C624FB6"/>
    <w:rsid w:val="6C6B416B"/>
    <w:rsid w:val="6D143BB0"/>
    <w:rsid w:val="6E4C15A9"/>
    <w:rsid w:val="6E693005"/>
    <w:rsid w:val="6E71113F"/>
    <w:rsid w:val="6EB964B8"/>
    <w:rsid w:val="6FC91688"/>
    <w:rsid w:val="700C7698"/>
    <w:rsid w:val="708228FC"/>
    <w:rsid w:val="71344B9A"/>
    <w:rsid w:val="720815F1"/>
    <w:rsid w:val="72975808"/>
    <w:rsid w:val="72C952AE"/>
    <w:rsid w:val="72ED35F2"/>
    <w:rsid w:val="73D31431"/>
    <w:rsid w:val="73E60663"/>
    <w:rsid w:val="74D30BF9"/>
    <w:rsid w:val="75794985"/>
    <w:rsid w:val="77177358"/>
    <w:rsid w:val="77EA77BF"/>
    <w:rsid w:val="78197C77"/>
    <w:rsid w:val="7A8B2881"/>
    <w:rsid w:val="7C1A04BF"/>
    <w:rsid w:val="7E332BA7"/>
    <w:rsid w:val="7EF13D01"/>
    <w:rsid w:val="7FF4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qFormat="1" w:unhideWhenUsed="0" w:uiPriority="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3"/>
    <w:qFormat/>
    <w:uiPriority w:val="0"/>
    <w:pPr>
      <w:widowControl w:val="0"/>
      <w:jc w:val="both"/>
    </w:pPr>
    <w:rPr>
      <w:rFonts w:ascii="仿宋_GB2312" w:hAnsi="Calibri" w:eastAsia="仿宋_GB2312" w:cs="Calibri"/>
      <w:kern w:val="2"/>
      <w:sz w:val="32"/>
      <w:szCs w:val="24"/>
      <w:lang w:val="en-US" w:eastAsia="zh-CN" w:bidi="ar-SA"/>
    </w:rPr>
  </w:style>
  <w:style w:type="paragraph" w:styleId="3">
    <w:name w:val="heading 1"/>
    <w:basedOn w:val="1"/>
    <w:next w:val="1"/>
    <w:link w:val="32"/>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4"/>
    <w:unhideWhenUsed/>
    <w:qFormat/>
    <w:uiPriority w:val="99"/>
    <w:pPr>
      <w:spacing w:after="120"/>
    </w:pPr>
    <w:rPr>
      <w:rFonts w:ascii="Calibri" w:eastAsia="宋体" w:cs="Times New Roman"/>
      <w:sz w:val="21"/>
    </w:rPr>
  </w:style>
  <w:style w:type="paragraph" w:styleId="4">
    <w:name w:val="table of authorities"/>
    <w:basedOn w:val="1"/>
    <w:next w:val="1"/>
    <w:qFormat/>
    <w:uiPriority w:val="0"/>
    <w:pPr>
      <w:ind w:left="420" w:leftChars="200"/>
    </w:pPr>
  </w:style>
  <w:style w:type="paragraph" w:styleId="5">
    <w:name w:val="Normal Indent"/>
    <w:basedOn w:val="1"/>
    <w:qFormat/>
    <w:uiPriority w:val="0"/>
    <w:pPr>
      <w:ind w:firstLine="420" w:firstLineChars="200"/>
    </w:pPr>
    <w:rPr>
      <w:rFonts w:ascii="Calibri" w:hAnsi="Calibri" w:eastAsia="宋体"/>
      <w:kern w:val="2"/>
      <w:sz w:val="21"/>
      <w:szCs w:val="24"/>
    </w:rPr>
  </w:style>
  <w:style w:type="paragraph" w:styleId="6">
    <w:name w:val="index 5"/>
    <w:basedOn w:val="1"/>
    <w:next w:val="1"/>
    <w:unhideWhenUsed/>
    <w:qFormat/>
    <w:uiPriority w:val="99"/>
    <w:pPr>
      <w:jc w:val="left"/>
    </w:pPr>
    <w:rPr>
      <w:rFonts w:ascii="楷体" w:hAnsi="Calibri" w:eastAsia="楷体" w:cs="Arial"/>
      <w:kern w:val="2"/>
    </w:rPr>
  </w:style>
  <w:style w:type="paragraph" w:styleId="7">
    <w:name w:val="annotation text"/>
    <w:basedOn w:val="1"/>
    <w:qFormat/>
    <w:uiPriority w:val="0"/>
    <w:pPr>
      <w:widowControl w:val="0"/>
      <w:jc w:val="left"/>
    </w:pPr>
    <w:rPr>
      <w:rFonts w:ascii="仿宋_GB2312" w:hAnsi="Times New Roman" w:eastAsia="仿宋_GB2312"/>
      <w:sz w:val="32"/>
    </w:rPr>
  </w:style>
  <w:style w:type="paragraph" w:styleId="8">
    <w:name w:val="toc 3"/>
    <w:basedOn w:val="1"/>
    <w:next w:val="1"/>
    <w:unhideWhenUsed/>
    <w:qFormat/>
    <w:uiPriority w:val="39"/>
    <w:pPr>
      <w:ind w:left="840" w:leftChars="400"/>
    </w:pPr>
  </w:style>
  <w:style w:type="paragraph" w:styleId="9">
    <w:name w:val="Plain Text"/>
    <w:basedOn w:val="1"/>
    <w:qFormat/>
    <w:uiPriority w:val="0"/>
    <w:rPr>
      <w:rFonts w:ascii="宋体" w:hAnsi="Courier New" w:cs="Courier New"/>
      <w:szCs w:val="21"/>
    </w:rPr>
  </w:style>
  <w:style w:type="paragraph" w:styleId="10">
    <w:name w:val="Date"/>
    <w:basedOn w:val="1"/>
    <w:next w:val="1"/>
    <w:link w:val="37"/>
    <w:semiHidden/>
    <w:unhideWhenUsed/>
    <w:qFormat/>
    <w:uiPriority w:val="99"/>
    <w:pPr>
      <w:ind w:left="100" w:leftChars="2500"/>
    </w:pPr>
  </w:style>
  <w:style w:type="paragraph" w:styleId="11">
    <w:name w:val="Body Text Indent 2"/>
    <w:basedOn w:val="1"/>
    <w:qFormat/>
    <w:uiPriority w:val="0"/>
    <w:pPr>
      <w:ind w:left="105" w:firstLine="525"/>
    </w:pPr>
    <w:rPr>
      <w:rFonts w:eastAsia="仿宋_GB2312"/>
      <w:kern w:val="2"/>
      <w:szCs w:val="20"/>
    </w:rPr>
  </w:style>
  <w:style w:type="paragraph" w:styleId="12">
    <w:name w:val="Balloon Text"/>
    <w:basedOn w:val="1"/>
    <w:link w:val="38"/>
    <w:semiHidden/>
    <w:unhideWhenUsed/>
    <w:qFormat/>
    <w:uiPriority w:val="99"/>
    <w:rPr>
      <w:sz w:val="18"/>
      <w:szCs w:val="18"/>
    </w:rPr>
  </w:style>
  <w:style w:type="paragraph" w:styleId="13">
    <w:name w:val="footer"/>
    <w:basedOn w:val="1"/>
    <w:link w:val="34"/>
    <w:qFormat/>
    <w:uiPriority w:val="99"/>
    <w:pPr>
      <w:tabs>
        <w:tab w:val="center" w:pos="4153"/>
        <w:tab w:val="right" w:pos="8306"/>
      </w:tabs>
      <w:snapToGrid w:val="0"/>
      <w:jc w:val="left"/>
    </w:pPr>
    <w:rPr>
      <w:rFonts w:cs="Times New Roman"/>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7">
    <w:name w:val="Normal (Web)"/>
    <w:basedOn w:val="1"/>
    <w:qFormat/>
    <w:uiPriority w:val="99"/>
    <w:pPr>
      <w:widowControl/>
      <w:spacing w:before="100" w:beforeAutospacing="1" w:after="100" w:afterAutospacing="1"/>
      <w:jc w:val="left"/>
    </w:pPr>
    <w:rPr>
      <w:rFonts w:ascii="宋体" w:hAnsi="宋体" w:cs="宋体"/>
      <w:kern w:val="0"/>
    </w:rPr>
  </w:style>
  <w:style w:type="paragraph" w:styleId="18">
    <w:name w:val="Title"/>
    <w:basedOn w:val="1"/>
    <w:next w:val="1"/>
    <w:link w:val="43"/>
    <w:qFormat/>
    <w:uiPriority w:val="0"/>
    <w:pPr>
      <w:jc w:val="center"/>
    </w:pPr>
    <w:rPr>
      <w:rFonts w:ascii="Arial" w:hAnsi="Arial" w:eastAsia="宋体" w:cs="Times New Roman"/>
      <w:b/>
      <w:bCs/>
      <w:szCs w:val="32"/>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Emphasis"/>
    <w:basedOn w:val="21"/>
    <w:qFormat/>
    <w:uiPriority w:val="0"/>
    <w:rPr>
      <w:i/>
    </w:rPr>
  </w:style>
  <w:style w:type="character" w:styleId="25">
    <w:name w:val="Hyperlink"/>
    <w:basedOn w:val="21"/>
    <w:semiHidden/>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BodyText"/>
    <w:basedOn w:val="1"/>
    <w:next w:val="1"/>
    <w:qFormat/>
    <w:uiPriority w:val="0"/>
    <w:pPr>
      <w:spacing w:before="100" w:beforeAutospacing="1" w:after="120"/>
      <w:jc w:val="both"/>
      <w:textAlignment w:val="baseline"/>
    </w:pPr>
    <w:rPr>
      <w:rFonts w:ascii="Calibri" w:hAnsi="Calibri"/>
      <w:kern w:val="2"/>
      <w:sz w:val="21"/>
      <w:szCs w:val="24"/>
      <w:lang w:val="en-US" w:eastAsia="zh-CN" w:bidi="ar-SA"/>
    </w:rPr>
  </w:style>
  <w:style w:type="paragraph" w:customStyle="1" w:styleId="28">
    <w:name w:val="Body Text1"/>
    <w:basedOn w:val="1"/>
    <w:qFormat/>
    <w:uiPriority w:val="0"/>
  </w:style>
  <w:style w:type="paragraph" w:customStyle="1" w:styleId="29">
    <w:name w:val="目录 81"/>
    <w:next w:val="1"/>
    <w:qFormat/>
    <w:uiPriority w:val="99"/>
    <w:pPr>
      <w:wordWrap w:val="0"/>
      <w:ind w:left="2975"/>
      <w:jc w:val="both"/>
    </w:pPr>
    <w:rPr>
      <w:rFonts w:ascii="Times New Roman" w:hAnsi="Times New Roman" w:eastAsia="宋体" w:cs="Times New Roman"/>
      <w:kern w:val="0"/>
      <w:sz w:val="21"/>
      <w:szCs w:val="22"/>
      <w:lang w:val="en-US" w:eastAsia="zh-CN" w:bidi="ar-SA"/>
    </w:rPr>
  </w:style>
  <w:style w:type="paragraph" w:customStyle="1" w:styleId="30">
    <w:name w:val="列出段落1"/>
    <w:basedOn w:val="1"/>
    <w:qFormat/>
    <w:uiPriority w:val="0"/>
    <w:pPr>
      <w:ind w:firstLine="420"/>
    </w:pPr>
    <w:rPr>
      <w:rFonts w:eastAsia="宋体" w:cs="Times New Roman"/>
      <w:sz w:val="21"/>
    </w:rPr>
  </w:style>
  <w:style w:type="paragraph" w:customStyle="1" w:styleId="31">
    <w:name w:val="Heading2"/>
    <w:basedOn w:val="1"/>
    <w:next w:val="1"/>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 w:type="character" w:customStyle="1" w:styleId="32">
    <w:name w:val="标题 1 Char"/>
    <w:basedOn w:val="21"/>
    <w:link w:val="3"/>
    <w:qFormat/>
    <w:uiPriority w:val="0"/>
    <w:rPr>
      <w:rFonts w:ascii="Times New Roman" w:hAnsi="Times New Roman" w:cs="Times New Roman"/>
      <w:b/>
      <w:bCs/>
      <w:kern w:val="44"/>
      <w:sz w:val="44"/>
      <w:szCs w:val="44"/>
    </w:rPr>
  </w:style>
  <w:style w:type="character" w:customStyle="1" w:styleId="33">
    <w:name w:val="页眉 Char"/>
    <w:basedOn w:val="21"/>
    <w:link w:val="14"/>
    <w:qFormat/>
    <w:uiPriority w:val="0"/>
    <w:rPr>
      <w:rFonts w:ascii="仿宋_GB2312" w:eastAsia="仿宋_GB2312" w:cs="Times New Roman"/>
      <w:kern w:val="2"/>
      <w:sz w:val="18"/>
      <w:szCs w:val="18"/>
    </w:rPr>
  </w:style>
  <w:style w:type="character" w:customStyle="1" w:styleId="34">
    <w:name w:val="页脚 Char"/>
    <w:basedOn w:val="21"/>
    <w:link w:val="13"/>
    <w:qFormat/>
    <w:uiPriority w:val="99"/>
    <w:rPr>
      <w:rFonts w:ascii="仿宋_GB2312" w:eastAsia="仿宋_GB2312" w:cs="Times New Roman"/>
      <w:kern w:val="2"/>
      <w:sz w:val="18"/>
      <w:szCs w:val="18"/>
    </w:rPr>
  </w:style>
  <w:style w:type="paragraph" w:customStyle="1" w:styleId="35">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6">
    <w:name w:val="正文 New"/>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37">
    <w:name w:val="日期 Char"/>
    <w:basedOn w:val="21"/>
    <w:link w:val="10"/>
    <w:semiHidden/>
    <w:qFormat/>
    <w:uiPriority w:val="99"/>
    <w:rPr>
      <w:rFonts w:ascii="仿宋_GB2312" w:eastAsia="仿宋_GB2312"/>
      <w:kern w:val="2"/>
      <w:sz w:val="24"/>
      <w:szCs w:val="24"/>
    </w:rPr>
  </w:style>
  <w:style w:type="character" w:customStyle="1" w:styleId="38">
    <w:name w:val="批注框文本 Char"/>
    <w:basedOn w:val="21"/>
    <w:link w:val="12"/>
    <w:semiHidden/>
    <w:qFormat/>
    <w:uiPriority w:val="99"/>
    <w:rPr>
      <w:rFonts w:ascii="仿宋_GB2312" w:hAnsi="Calibri" w:eastAsia="仿宋_GB2312" w:cs="Calibri"/>
      <w:kern w:val="2"/>
      <w:sz w:val="18"/>
      <w:szCs w:val="18"/>
    </w:rPr>
  </w:style>
  <w:style w:type="paragraph" w:customStyle="1" w:styleId="39">
    <w:name w:val="正文 New New"/>
    <w:qFormat/>
    <w:uiPriority w:val="0"/>
    <w:pPr>
      <w:widowControl w:val="0"/>
      <w:jc w:val="both"/>
    </w:pPr>
    <w:rPr>
      <w:rFonts w:ascii="Calibri" w:hAnsi="Calibri" w:eastAsia="仿宋_GB2312" w:cs="Calibri"/>
      <w:kern w:val="2"/>
      <w:sz w:val="32"/>
      <w:szCs w:val="24"/>
      <w:lang w:val="en-US" w:eastAsia="zh-CN" w:bidi="ar-SA"/>
    </w:rPr>
  </w:style>
  <w:style w:type="character" w:customStyle="1" w:styleId="40">
    <w:name w:val="NormalCharacter"/>
    <w:link w:val="41"/>
    <w:semiHidden/>
    <w:qFormat/>
    <w:uiPriority w:val="0"/>
    <w:rPr>
      <w:rFonts w:ascii="Times New Roman" w:hAnsi="Times New Roman" w:eastAsia="宋体" w:cs="Times New Roman"/>
      <w:kern w:val="0"/>
      <w:sz w:val="21"/>
      <w:szCs w:val="20"/>
      <w:lang w:val="en-US" w:eastAsia="zh-CN"/>
    </w:rPr>
  </w:style>
  <w:style w:type="paragraph" w:customStyle="1" w:styleId="41">
    <w:name w:val="UserStyle_1"/>
    <w:next w:val="1"/>
    <w:link w:val="40"/>
    <w:qFormat/>
    <w:uiPriority w:val="0"/>
    <w:pPr>
      <w:widowControl/>
      <w:ind w:left="2975"/>
      <w:jc w:val="both"/>
      <w:textAlignment w:val="baseline"/>
    </w:pPr>
    <w:rPr>
      <w:rFonts w:ascii="Times New Roman" w:hAnsi="Times New Roman" w:eastAsia="宋体" w:cs="Times New Roman"/>
      <w:kern w:val="0"/>
      <w:sz w:val="21"/>
      <w:szCs w:val="20"/>
      <w:lang w:val="en-US" w:eastAsia="zh-CN"/>
    </w:rPr>
  </w:style>
  <w:style w:type="paragraph" w:customStyle="1" w:styleId="42">
    <w:name w:val="Body text|1"/>
    <w:basedOn w:val="1"/>
    <w:qFormat/>
    <w:uiPriority w:val="0"/>
    <w:pPr>
      <w:spacing w:line="391" w:lineRule="auto"/>
      <w:ind w:firstLine="400"/>
    </w:pPr>
    <w:rPr>
      <w:rFonts w:ascii="宋体" w:hAnsi="宋体" w:eastAsia="宋体" w:cs="宋体"/>
      <w:sz w:val="30"/>
      <w:szCs w:val="30"/>
      <w:lang w:val="zh-TW" w:eastAsia="zh-TW" w:bidi="zh-TW"/>
    </w:rPr>
  </w:style>
  <w:style w:type="character" w:customStyle="1" w:styleId="43">
    <w:name w:val="标题 Char"/>
    <w:basedOn w:val="21"/>
    <w:link w:val="18"/>
    <w:qFormat/>
    <w:uiPriority w:val="0"/>
    <w:rPr>
      <w:rFonts w:ascii="Arial" w:hAnsi="Arial"/>
      <w:b/>
      <w:bCs/>
      <w:kern w:val="2"/>
      <w:sz w:val="32"/>
      <w:szCs w:val="32"/>
    </w:rPr>
  </w:style>
  <w:style w:type="character" w:customStyle="1" w:styleId="44">
    <w:name w:val="正文文本 Char"/>
    <w:basedOn w:val="21"/>
    <w:link w:val="2"/>
    <w:qFormat/>
    <w:uiPriority w:val="99"/>
    <w:rPr>
      <w:rFonts w:ascii="Calibri" w:hAnsi="Calibri"/>
      <w:kern w:val="2"/>
      <w:sz w:val="21"/>
      <w:szCs w:val="24"/>
    </w:rPr>
  </w:style>
  <w:style w:type="character" w:customStyle="1" w:styleId="45">
    <w:name w:val="15"/>
    <w:basedOn w:val="21"/>
    <w:qFormat/>
    <w:uiPriority w:val="0"/>
    <w:rPr>
      <w:rFonts w:hint="default" w:ascii="Calibri" w:hAnsi="Calibri"/>
      <w:b/>
      <w:bCs/>
    </w:rPr>
  </w:style>
  <w:style w:type="paragraph" w:styleId="46">
    <w:name w:val="List Paragraph"/>
    <w:basedOn w:val="1"/>
    <w:qFormat/>
    <w:uiPriority w:val="34"/>
    <w:pPr>
      <w:ind w:firstLine="420" w:firstLineChars="200"/>
    </w:pPr>
  </w:style>
  <w:style w:type="paragraph" w:customStyle="1" w:styleId="47">
    <w:name w:val="p0"/>
    <w:basedOn w:val="1"/>
    <w:qFormat/>
    <w:uiPriority w:val="0"/>
    <w:pPr>
      <w:widowControl/>
    </w:pPr>
    <w:rPr>
      <w:rFonts w:cs="宋体"/>
      <w:kern w:val="0"/>
      <w:szCs w:val="21"/>
    </w:rPr>
  </w:style>
  <w:style w:type="paragraph" w:customStyle="1" w:styleId="48">
    <w:name w:val="List Paragraph1"/>
    <w:basedOn w:val="1"/>
    <w:qFormat/>
    <w:uiPriority w:val="0"/>
    <w:pPr>
      <w:ind w:firstLine="420" w:firstLineChars="200"/>
    </w:pPr>
  </w:style>
  <w:style w:type="paragraph" w:customStyle="1" w:styleId="49">
    <w:name w:val="正文-公1"/>
    <w:basedOn w:val="1"/>
    <w:qFormat/>
    <w:uiPriority w:val="0"/>
    <w:pPr>
      <w:ind w:firstLine="200" w:firstLineChars="200"/>
    </w:pPr>
  </w:style>
  <w:style w:type="paragraph" w:customStyle="1" w:styleId="50">
    <w:name w:val="p6"/>
    <w:basedOn w:val="1"/>
    <w:qFormat/>
    <w:uiPriority w:val="0"/>
    <w:pPr>
      <w:widowControl/>
      <w:spacing w:line="240" w:lineRule="auto"/>
      <w:ind w:firstLine="489" w:firstLineChars="0"/>
    </w:pPr>
    <w:rPr>
      <w:rFonts w:ascii="Helvetica" w:hAnsi="Helvetica" w:eastAsia="宋体" w:cs="Times New Roman"/>
      <w:kern w:val="0"/>
      <w:szCs w:val="20"/>
    </w:rPr>
  </w:style>
  <w:style w:type="paragraph" w:customStyle="1" w:styleId="51">
    <w:name w:val="图标题目"/>
    <w:basedOn w:val="17"/>
    <w:qFormat/>
    <w:uiPriority w:val="0"/>
    <w:pPr>
      <w:spacing w:before="50" w:beforeLines="50" w:beforeAutospacing="0" w:after="50" w:afterLines="50" w:afterAutospacing="0"/>
      <w:jc w:val="center"/>
    </w:pPr>
    <w:rPr>
      <w:rFonts w:eastAsia="黑体"/>
      <w:sz w:val="28"/>
    </w:rPr>
  </w:style>
  <w:style w:type="character" w:customStyle="1" w:styleId="52">
    <w:name w:val="页脚 字符1"/>
    <w:qFormat/>
    <w:uiPriority w:val="0"/>
    <w:rPr>
      <w:sz w:val="18"/>
      <w:szCs w:val="18"/>
    </w:rPr>
  </w:style>
  <w:style w:type="character" w:customStyle="1" w:styleId="53">
    <w:name w:val="PageNumber"/>
    <w:basedOn w:val="40"/>
    <w:link w:val="1"/>
    <w:qFormat/>
    <w:uiPriority w:val="0"/>
  </w:style>
  <w:style w:type="paragraph" w:customStyle="1" w:styleId="54">
    <w:name w:val="正文首行缩进1"/>
    <w:basedOn w:val="2"/>
    <w:next w:val="1"/>
    <w:qFormat/>
    <w:uiPriority w:val="0"/>
    <w:pPr>
      <w:spacing w:line="588" w:lineRule="exact"/>
      <w:ind w:firstLine="880" w:firstLineChars="200"/>
    </w:pPr>
    <w:rPr>
      <w:lang w:val="en-US" w:eastAsia="zh-CN"/>
    </w:rPr>
  </w:style>
  <w:style w:type="paragraph" w:styleId="5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UserStyle_0"/>
    <w:basedOn w:val="1"/>
    <w:qFormat/>
    <w:uiPriority w:val="0"/>
    <w:pPr>
      <w:ind w:firstLine="200" w:firstLineChars="200"/>
      <w:jc w:val="both"/>
      <w:textAlignment w:val="baseline"/>
    </w:pPr>
  </w:style>
  <w:style w:type="paragraph" w:customStyle="1" w:styleId="57">
    <w:name w:val="样式 小四"/>
    <w:next w:val="7"/>
    <w:qFormat/>
    <w:uiPriority w:val="0"/>
    <w:pPr>
      <w:widowControl w:val="0"/>
      <w:ind w:firstLine="5632"/>
      <w:jc w:val="both"/>
    </w:pPr>
    <w:rPr>
      <w:rFonts w:ascii="宋体" w:hAnsi="宋体" w:eastAsia="宋体" w:cs="Times New Roman"/>
      <w:b/>
      <w:sz w:val="24"/>
      <w:lang w:val="en-US" w:eastAsia="zh-CN" w:bidi="ar-SA"/>
    </w:rPr>
  </w:style>
  <w:style w:type="paragraph" w:customStyle="1" w:styleId="58">
    <w:name w:val="No Spacing1"/>
    <w:qFormat/>
    <w:uiPriority w:val="0"/>
    <w:pPr>
      <w:widowControl w:val="0"/>
      <w:jc w:val="both"/>
    </w:pPr>
    <w:rPr>
      <w:rFonts w:ascii="Calibri" w:hAnsi="Calibri" w:eastAsia="宋体" w:cs="Times New Roman"/>
      <w:kern w:val="2"/>
      <w:sz w:val="32"/>
      <w:szCs w:val="32"/>
      <w:lang w:val="en-US" w:eastAsia="zh-CN" w:bidi="ar-SA"/>
    </w:rPr>
  </w:style>
  <w:style w:type="character" w:customStyle="1" w:styleId="59">
    <w:name w:val="bjh-p"/>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7" textRotate="1"/>
    <customShpInfo spid="_x0000_s4108" textRotate="1"/>
    <customShpInfo spid="_x0000_s410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1993</Words>
  <Characters>2003</Characters>
  <Lines>2</Lines>
  <Paragraphs>1</Paragraphs>
  <TotalTime>9</TotalTime>
  <ScaleCrop>false</ScaleCrop>
  <LinksUpToDate>false</LinksUpToDate>
  <CharactersWithSpaces>2097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2020-09-01T00:39:00Z</dcterms:created>
  <dc:creator>Administrator</dc:creator>
  <cp:lastModifiedBy>58947</cp:lastModifiedBy>
  <cp:lastPrinted>2023-06-13T08:05:19Z</cp:lastPrinted>
  <dcterms:modified xsi:type="dcterms:W3CDTF">2023-06-13T08:06:05Z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E1E813334E614A608AE57886E4E2E51F</vt:lpwstr>
  </property>
</Properties>
</file>