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D3948">
      <w:pPr>
        <w:spacing w:line="588" w:lineRule="exact"/>
        <w:rPr>
          <w:color w:val="000000"/>
          <w:spacing w:val="8"/>
        </w:rPr>
      </w:pPr>
    </w:p>
    <w:p w14:paraId="3C30EF2D">
      <w:pPr>
        <w:spacing w:line="588" w:lineRule="exact"/>
        <w:rPr>
          <w:color w:val="000000"/>
          <w:spacing w:val="8"/>
          <w:sz w:val="44"/>
          <w:szCs w:val="44"/>
        </w:rPr>
      </w:pPr>
    </w:p>
    <w:p w14:paraId="52BC7C0E">
      <w:pPr>
        <w:spacing w:line="588" w:lineRule="exact"/>
        <w:rPr>
          <w:color w:val="000000"/>
          <w:spacing w:val="8"/>
          <w:sz w:val="44"/>
          <w:szCs w:val="44"/>
        </w:rPr>
      </w:pPr>
    </w:p>
    <w:p w14:paraId="04612918">
      <w:pPr>
        <w:tabs>
          <w:tab w:val="left" w:pos="5670"/>
        </w:tabs>
        <w:spacing w:line="220" w:lineRule="exact"/>
        <w:rPr>
          <w:color w:val="000000"/>
          <w:spacing w:val="8"/>
          <w:sz w:val="44"/>
          <w:szCs w:val="44"/>
        </w:rPr>
      </w:pPr>
      <w:r>
        <w:rPr>
          <w:color w:val="000000"/>
          <w:spacing w:val="8"/>
          <w:sz w:val="44"/>
          <w:szCs w:val="44"/>
        </w:rPr>
        <w:tab/>
      </w:r>
    </w:p>
    <w:p w14:paraId="0DFC2B6D">
      <w:pPr>
        <w:spacing w:line="300" w:lineRule="exact"/>
        <w:rPr>
          <w:color w:val="000000"/>
          <w:spacing w:val="8"/>
          <w:sz w:val="44"/>
          <w:szCs w:val="44"/>
        </w:rPr>
      </w:pPr>
    </w:p>
    <w:p w14:paraId="4A2CA2E6">
      <w:pPr>
        <w:spacing w:line="220" w:lineRule="exact"/>
        <w:rPr>
          <w:color w:val="000000"/>
          <w:spacing w:val="8"/>
          <w:sz w:val="44"/>
          <w:szCs w:val="44"/>
        </w:rPr>
      </w:pPr>
    </w:p>
    <w:p w14:paraId="76093F96">
      <w:pPr>
        <w:spacing w:line="200" w:lineRule="exact"/>
        <w:rPr>
          <w:color w:val="000000"/>
          <w:spacing w:val="8"/>
          <w:sz w:val="44"/>
          <w:szCs w:val="44"/>
        </w:rPr>
      </w:pPr>
    </w:p>
    <w:p w14:paraId="728B7ADE">
      <w:pPr>
        <w:spacing w:line="200" w:lineRule="exact"/>
        <w:rPr>
          <w:color w:val="000000"/>
          <w:spacing w:val="8"/>
          <w:sz w:val="44"/>
          <w:szCs w:val="44"/>
        </w:rPr>
      </w:pPr>
    </w:p>
    <w:p w14:paraId="1D2EBCD1">
      <w:pPr>
        <w:spacing w:line="200" w:lineRule="exact"/>
        <w:rPr>
          <w:color w:val="000000"/>
          <w:spacing w:val="8"/>
          <w:sz w:val="44"/>
          <w:szCs w:val="44"/>
        </w:rPr>
      </w:pPr>
    </w:p>
    <w:p w14:paraId="353D80EF">
      <w:pPr>
        <w:spacing w:line="500" w:lineRule="exact"/>
        <w:rPr>
          <w:color w:val="000000"/>
          <w:spacing w:val="8"/>
          <w:sz w:val="44"/>
          <w:szCs w:val="44"/>
        </w:rPr>
      </w:pPr>
    </w:p>
    <w:p w14:paraId="2D044F07">
      <w:pPr>
        <w:spacing w:line="588" w:lineRule="exact"/>
        <w:jc w:val="center"/>
        <w:rPr>
          <w:rFonts w:ascii="楷体_GB2312" w:hAnsi="宋体" w:eastAsia="楷体_GB2312"/>
          <w:color w:val="000000"/>
          <w:spacing w:val="8"/>
          <w:sz w:val="44"/>
          <w:szCs w:val="44"/>
        </w:rPr>
      </w:pPr>
      <w:r>
        <w:rPr>
          <w:rFonts w:hint="eastAsia" w:hAnsi="仿宋_GB2312" w:cs="仿宋_GB2312"/>
          <w:bCs/>
          <w:color w:val="000000"/>
          <w:spacing w:val="8"/>
          <w:szCs w:val="32"/>
        </w:rPr>
        <w:t>友政发〔202</w:t>
      </w:r>
      <w:r>
        <w:rPr>
          <w:rFonts w:hint="eastAsia" w:hAnsi="仿宋_GB2312" w:cs="仿宋_GB2312"/>
          <w:bCs/>
          <w:color w:val="000000"/>
          <w:spacing w:val="8"/>
          <w:szCs w:val="32"/>
          <w:lang w:val="en-US" w:eastAsia="zh-CN"/>
        </w:rPr>
        <w:t>5</w:t>
      </w:r>
      <w:r>
        <w:rPr>
          <w:rFonts w:hint="eastAsia" w:hAnsi="仿宋_GB2312" w:cs="仿宋_GB2312"/>
          <w:bCs/>
          <w:color w:val="000000"/>
          <w:spacing w:val="8"/>
          <w:szCs w:val="32"/>
        </w:rPr>
        <w:t>〕</w:t>
      </w:r>
      <w:r>
        <w:rPr>
          <w:rFonts w:hint="eastAsia" w:hAnsi="仿宋_GB2312" w:cs="仿宋_GB2312"/>
          <w:bCs/>
          <w:color w:val="000000"/>
          <w:spacing w:val="8"/>
          <w:szCs w:val="32"/>
          <w:lang w:val="en-US" w:eastAsia="zh-CN"/>
        </w:rPr>
        <w:t>3</w:t>
      </w:r>
      <w:r>
        <w:rPr>
          <w:rFonts w:hint="eastAsia" w:hAnsi="仿宋_GB2312" w:cs="仿宋_GB2312"/>
          <w:bCs/>
          <w:color w:val="000000"/>
          <w:spacing w:val="8"/>
          <w:szCs w:val="32"/>
        </w:rPr>
        <w:t>号</w:t>
      </w:r>
    </w:p>
    <w:p w14:paraId="319DE2DA">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ascii="方正小标宋简体" w:hAnsi="宋体" w:eastAsia="方正小标宋简体" w:cs="宋体"/>
          <w:color w:val="000000"/>
          <w:kern w:val="0"/>
          <w:sz w:val="44"/>
          <w:szCs w:val="44"/>
        </w:rPr>
      </w:pPr>
    </w:p>
    <w:p w14:paraId="1C3407A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Cs/>
          <w:color w:val="000000" w:themeColor="text1"/>
          <w:sz w:val="44"/>
          <w:szCs w:val="44"/>
          <w:lang w:val="en-US" w:eastAsia="zh-CN"/>
        </w:rPr>
      </w:pPr>
    </w:p>
    <w:p w14:paraId="67B26E53">
      <w:pPr>
        <w:keepNext w:val="0"/>
        <w:keepLines w:val="0"/>
        <w:pageBreakBefore w:val="0"/>
        <w:widowControl w:val="0"/>
        <w:suppressAutoHyphens/>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伊春市友好区</w:t>
      </w:r>
      <w:r>
        <w:rPr>
          <w:rFonts w:hint="eastAsia" w:ascii="方正小标宋_GBK" w:hAnsi="方正小标宋_GBK" w:eastAsia="方正小标宋_GBK" w:cs="方正小标宋_GBK"/>
          <w:sz w:val="44"/>
          <w:szCs w:val="44"/>
          <w:lang w:eastAsia="zh-CN"/>
        </w:rPr>
        <w:t>人民政府</w:t>
      </w:r>
    </w:p>
    <w:p w14:paraId="00C06C02">
      <w:pPr>
        <w:keepNext w:val="0"/>
        <w:keepLines w:val="0"/>
        <w:pageBreakBefore w:val="0"/>
        <w:widowControl w:val="0"/>
        <w:suppressAutoHyphens/>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关于成立</w:t>
      </w:r>
      <w:r>
        <w:rPr>
          <w:rFonts w:hint="eastAsia" w:ascii="方正小标宋_GBK" w:hAnsi="方正小标宋_GBK" w:eastAsia="方正小标宋_GBK" w:cs="方正小标宋_GBK"/>
          <w:sz w:val="44"/>
          <w:szCs w:val="44"/>
          <w:lang w:val="en-US" w:eastAsia="zh-CN"/>
        </w:rPr>
        <w:t>伊春市友好区人民政府</w:t>
      </w:r>
    </w:p>
    <w:p w14:paraId="033771F1">
      <w:pPr>
        <w:keepNext w:val="0"/>
        <w:keepLines w:val="0"/>
        <w:pageBreakBefore w:val="0"/>
        <w:widowControl w:val="0"/>
        <w:suppressAutoHyphens/>
        <w:kinsoku/>
        <w:wordWrap/>
        <w:overflowPunct/>
        <w:topLinePunct w:val="0"/>
        <w:autoSpaceDE/>
        <w:autoSpaceDN/>
        <w:bidi w:val="0"/>
        <w:adjustRightInd/>
        <w:snapToGrid/>
        <w:spacing w:line="700" w:lineRule="exact"/>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第四次全国农业普查领导小组的</w:t>
      </w:r>
      <w:r>
        <w:rPr>
          <w:rFonts w:hint="eastAsia" w:ascii="方正小标宋_GBK" w:hAnsi="方正小标宋_GBK" w:eastAsia="方正小标宋_GBK" w:cs="方正小标宋_GBK"/>
          <w:sz w:val="44"/>
          <w:szCs w:val="44"/>
          <w:lang w:val="en-US" w:eastAsia="zh-CN"/>
        </w:rPr>
        <w:t>通知</w:t>
      </w:r>
    </w:p>
    <w:p w14:paraId="0A21BFBA">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CESI楷体-GB2312" w:hAnsi="CESI楷体-GB2312" w:eastAsia="CESI楷体-GB2312" w:cs="CESI楷体-GB2312"/>
          <w:sz w:val="32"/>
          <w:szCs w:val="32"/>
          <w:lang w:eastAsia="zh-CN"/>
        </w:rPr>
      </w:pPr>
    </w:p>
    <w:p w14:paraId="696876E1">
      <w:pPr>
        <w:keepNext w:val="0"/>
        <w:keepLines w:val="0"/>
        <w:pageBreakBefore w:val="0"/>
        <w:widowControl w:val="0"/>
        <w:suppressAutoHyphens/>
        <w:kinsoku/>
        <w:wordWrap/>
        <w:overflowPunct/>
        <w:topLinePunct/>
        <w:autoSpaceDE w:val="0"/>
        <w:autoSpaceDN/>
        <w:bidi w:val="0"/>
        <w:adjustRightInd/>
        <w:snapToGrid/>
        <w:spacing w:line="560" w:lineRule="exact"/>
        <w:jc w:val="both"/>
        <w:textAlignment w:val="auto"/>
        <w:rPr>
          <w:rFonts w:hint="eastAsia" w:ascii="仿宋_GB2312" w:hAnsi="仿宋_GB2312" w:eastAsia="仿宋_GB2312" w:cs="仿宋_GB2312"/>
          <w:sz w:val="32"/>
          <w:szCs w:val="20"/>
          <w:lang w:val="en-US" w:eastAsia="zh-CN"/>
        </w:rPr>
      </w:pPr>
      <w:r>
        <w:rPr>
          <w:rFonts w:hint="eastAsia" w:ascii="仿宋_GB2312" w:hAnsi="仿宋_GB2312" w:eastAsia="仿宋_GB2312" w:cs="仿宋_GB2312"/>
          <w:sz w:val="32"/>
          <w:szCs w:val="20"/>
          <w:lang w:val="en-US" w:eastAsia="zh-CN"/>
        </w:rPr>
        <w:t>区政府各组成单位，各镇、友好街道办事处：</w:t>
      </w:r>
    </w:p>
    <w:p w14:paraId="11375E33">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jc w:val="both"/>
        <w:textAlignment w:val="auto"/>
        <w:rPr>
          <w:rFonts w:hint="eastAsia" w:ascii="仿宋_GB2312" w:hAnsi="仿宋_GB2312" w:eastAsia="仿宋_GB2312" w:cs="仿宋_GB2312"/>
          <w:sz w:val="32"/>
          <w:szCs w:val="20"/>
          <w:lang w:val="en-US" w:eastAsia="zh-CN"/>
        </w:rPr>
      </w:pPr>
      <w:r>
        <w:rPr>
          <w:rFonts w:hint="eastAsia" w:ascii="仿宋_GB2312" w:hAnsi="仿宋_GB2312" w:eastAsia="仿宋_GB2312" w:cs="仿宋_GB2312"/>
          <w:sz w:val="32"/>
          <w:szCs w:val="20"/>
          <w:lang w:val="en-US" w:eastAsia="zh-CN"/>
        </w:rPr>
        <w:t>根据《中华人民共和国统计法》和《全国农业普查条例》规定，国务院决定于2026年开展第四次农业普查，普查的标准时点为2026年12月31日24时，时期资料为2026年年度资料。为做好我区第四次全国农业普查工作，按照</w:t>
      </w:r>
      <w:r>
        <w:rPr>
          <w:rFonts w:hint="eastAsia" w:ascii="仿宋_GB2312" w:hAnsi="仿宋_GB2312" w:eastAsia="仿宋_GB2312" w:cs="仿宋_GB2312"/>
          <w:color w:val="auto"/>
          <w:sz w:val="32"/>
          <w:szCs w:val="20"/>
          <w:lang w:val="en-US" w:eastAsia="zh-CN"/>
        </w:rPr>
        <w:t>《伊春市人民政府关于成立伊春市人民政府第四次全国农业普查领导小组的通知》（伊政发〔2025〕9号）中第三项“各县（市）区要抓紧成立相应的普查领导小组及办公室”的要求，</w:t>
      </w:r>
      <w:r>
        <w:rPr>
          <w:rFonts w:hint="eastAsia" w:ascii="仿宋_GB2312" w:hAnsi="仿宋_GB2312" w:eastAsia="仿宋_GB2312" w:cs="仿宋_GB2312"/>
          <w:sz w:val="32"/>
          <w:szCs w:val="20"/>
          <w:lang w:val="en-US" w:eastAsia="zh-CN"/>
        </w:rPr>
        <w:t>结合我区实际，成立伊春市友好区第四次全国农业普查领导小组。有关事项如下：</w:t>
      </w:r>
    </w:p>
    <w:p w14:paraId="4186D1F0">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jc w:val="both"/>
        <w:textAlignment w:val="auto"/>
        <w:rPr>
          <w:rFonts w:hint="eastAsia" w:ascii="黑体" w:hAnsi="黑体" w:eastAsia="黑体" w:cs="黑体"/>
          <w:sz w:val="32"/>
          <w:szCs w:val="20"/>
          <w:lang w:val="en-US" w:eastAsia="zh-CN"/>
        </w:rPr>
      </w:pPr>
      <w:r>
        <w:rPr>
          <w:rFonts w:hint="eastAsia" w:ascii="黑体" w:hAnsi="黑体" w:eastAsia="黑体" w:cs="黑体"/>
          <w:sz w:val="32"/>
          <w:szCs w:val="20"/>
          <w:lang w:val="en-US" w:eastAsia="zh-CN"/>
        </w:rPr>
        <w:t>一、领导小组组成人员</w:t>
      </w:r>
    </w:p>
    <w:p w14:paraId="3D4998CE">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20"/>
          <w:lang w:val="en-US" w:eastAsia="zh-CN"/>
        </w:rPr>
      </w:pPr>
      <w:r>
        <w:rPr>
          <w:rFonts w:hint="default" w:ascii="Times New Roman" w:hAnsi="Times New Roman" w:eastAsia="仿宋_GB2312" w:cs="Times New Roman"/>
          <w:sz w:val="32"/>
          <w:szCs w:val="20"/>
          <w:lang w:val="en-US" w:eastAsia="zh-CN"/>
        </w:rPr>
        <w:t>组  长：</w:t>
      </w:r>
      <w:r>
        <w:rPr>
          <w:rFonts w:hint="eastAsia" w:ascii="Times New Roman" w:hAnsi="Times New Roman" w:eastAsia="仿宋_GB2312" w:cs="Times New Roman"/>
          <w:sz w:val="32"/>
          <w:szCs w:val="20"/>
          <w:lang w:val="en-US" w:eastAsia="zh-CN"/>
        </w:rPr>
        <w:t>陈  磊</w:t>
      </w:r>
      <w:r>
        <w:rPr>
          <w:rFonts w:hint="default" w:ascii="Times New Roman" w:hAnsi="Times New Roman" w:eastAsia="仿宋_GB2312" w:cs="Times New Roman"/>
          <w:sz w:val="32"/>
          <w:szCs w:val="20"/>
          <w:lang w:val="en-US" w:eastAsia="zh-CN"/>
        </w:rPr>
        <w:t xml:space="preserve">  </w:t>
      </w:r>
      <w:r>
        <w:rPr>
          <w:rFonts w:hint="eastAsia" w:ascii="Times New Roman" w:hAnsi="Times New Roman" w:eastAsia="仿宋_GB2312" w:cs="Times New Roman"/>
          <w:sz w:val="32"/>
          <w:szCs w:val="20"/>
          <w:lang w:val="en-US" w:eastAsia="zh-CN"/>
        </w:rPr>
        <w:t>区</w:t>
      </w:r>
      <w:r>
        <w:rPr>
          <w:rFonts w:hint="default" w:ascii="Times New Roman" w:hAnsi="Times New Roman" w:eastAsia="仿宋_GB2312" w:cs="Times New Roman"/>
          <w:sz w:val="32"/>
          <w:szCs w:val="20"/>
          <w:lang w:val="en-US" w:eastAsia="zh-CN"/>
        </w:rPr>
        <w:t>政府副</w:t>
      </w:r>
      <w:r>
        <w:rPr>
          <w:rFonts w:hint="eastAsia" w:ascii="Times New Roman" w:hAnsi="Times New Roman" w:eastAsia="仿宋_GB2312" w:cs="Times New Roman"/>
          <w:sz w:val="32"/>
          <w:szCs w:val="20"/>
          <w:lang w:val="en-US" w:eastAsia="zh-CN"/>
        </w:rPr>
        <w:t>区</w:t>
      </w:r>
      <w:r>
        <w:rPr>
          <w:rFonts w:hint="default" w:ascii="Times New Roman" w:hAnsi="Times New Roman" w:eastAsia="仿宋_GB2312" w:cs="Times New Roman"/>
          <w:sz w:val="32"/>
          <w:szCs w:val="20"/>
          <w:lang w:val="en-US" w:eastAsia="zh-CN"/>
        </w:rPr>
        <w:t>长</w:t>
      </w:r>
    </w:p>
    <w:p w14:paraId="107B5228">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20"/>
          <w:lang w:val="en-US" w:eastAsia="zh-CN"/>
        </w:rPr>
      </w:pPr>
      <w:r>
        <w:rPr>
          <w:rFonts w:hint="default" w:ascii="Times New Roman" w:hAnsi="Times New Roman" w:eastAsia="仿宋_GB2312" w:cs="Times New Roman"/>
          <w:sz w:val="32"/>
          <w:szCs w:val="20"/>
          <w:lang w:val="en-US" w:eastAsia="zh-CN"/>
        </w:rPr>
        <w:t>副组长：</w:t>
      </w:r>
      <w:r>
        <w:rPr>
          <w:rFonts w:hint="eastAsia" w:ascii="Times New Roman" w:hAnsi="Times New Roman" w:eastAsia="仿宋_GB2312" w:cs="Times New Roman"/>
          <w:sz w:val="32"/>
          <w:szCs w:val="20"/>
          <w:lang w:val="en-US" w:eastAsia="zh-CN"/>
        </w:rPr>
        <w:t>王  震</w:t>
      </w:r>
      <w:r>
        <w:rPr>
          <w:rFonts w:hint="default" w:ascii="Times New Roman" w:hAnsi="Times New Roman" w:eastAsia="仿宋_GB2312" w:cs="Times New Roman"/>
          <w:sz w:val="32"/>
          <w:szCs w:val="20"/>
          <w:lang w:val="en-US" w:eastAsia="zh-CN"/>
        </w:rPr>
        <w:t xml:space="preserve">  </w:t>
      </w:r>
      <w:r>
        <w:rPr>
          <w:rFonts w:hint="eastAsia" w:ascii="Times New Roman" w:hAnsi="Times New Roman" w:eastAsia="仿宋_GB2312" w:cs="Times New Roman"/>
          <w:sz w:val="32"/>
          <w:szCs w:val="20"/>
          <w:lang w:val="en-US" w:eastAsia="zh-CN"/>
        </w:rPr>
        <w:t>友好林业局公司副总经理</w:t>
      </w:r>
    </w:p>
    <w:p w14:paraId="1CDCCF0A">
      <w:pPr>
        <w:keepNext w:val="0"/>
        <w:keepLines w:val="0"/>
        <w:pageBreakBefore w:val="0"/>
        <w:widowControl w:val="0"/>
        <w:suppressAutoHyphens/>
        <w:kinsoku/>
        <w:wordWrap/>
        <w:overflowPunct/>
        <w:topLinePunct/>
        <w:autoSpaceDE w:val="0"/>
        <w:autoSpaceDN/>
        <w:bidi w:val="0"/>
        <w:adjustRightInd/>
        <w:snapToGrid/>
        <w:spacing w:line="560" w:lineRule="exact"/>
        <w:ind w:firstLine="1896" w:firstLineChars="600"/>
        <w:textAlignment w:val="auto"/>
        <w:rPr>
          <w:rFonts w:hint="default"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刘  博</w:t>
      </w:r>
      <w:r>
        <w:rPr>
          <w:rFonts w:hint="default" w:ascii="Times New Roman" w:hAnsi="Times New Roman" w:eastAsia="仿宋_GB2312" w:cs="Times New Roman"/>
          <w:sz w:val="32"/>
          <w:szCs w:val="20"/>
          <w:lang w:val="en-US" w:eastAsia="zh-CN"/>
        </w:rPr>
        <w:t xml:space="preserve">  </w:t>
      </w:r>
      <w:r>
        <w:rPr>
          <w:rFonts w:hint="eastAsia" w:ascii="Times New Roman" w:hAnsi="Times New Roman" w:eastAsia="仿宋_GB2312" w:cs="Times New Roman"/>
          <w:sz w:val="32"/>
          <w:szCs w:val="20"/>
          <w:lang w:val="en-US" w:eastAsia="zh-CN"/>
        </w:rPr>
        <w:t>上甘岭林业局公司副总经理</w:t>
      </w:r>
    </w:p>
    <w:p w14:paraId="0553032A">
      <w:pPr>
        <w:keepNext w:val="0"/>
        <w:keepLines w:val="0"/>
        <w:pageBreakBefore w:val="0"/>
        <w:widowControl w:val="0"/>
        <w:suppressAutoHyphens/>
        <w:kinsoku/>
        <w:wordWrap/>
        <w:overflowPunct/>
        <w:topLinePunct/>
        <w:autoSpaceDE w:val="0"/>
        <w:autoSpaceDN/>
        <w:bidi w:val="0"/>
        <w:adjustRightInd/>
        <w:snapToGrid/>
        <w:spacing w:line="560" w:lineRule="exact"/>
        <w:ind w:firstLine="1896" w:firstLineChars="600"/>
        <w:textAlignment w:val="auto"/>
        <w:rPr>
          <w:rFonts w:hint="default"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王  野</w:t>
      </w:r>
      <w:r>
        <w:rPr>
          <w:rFonts w:hint="default" w:ascii="Times New Roman" w:hAnsi="Times New Roman" w:eastAsia="仿宋_GB2312" w:cs="Times New Roman"/>
          <w:sz w:val="32"/>
          <w:szCs w:val="20"/>
          <w:lang w:val="en-US" w:eastAsia="zh-CN"/>
        </w:rPr>
        <w:t xml:space="preserve">  </w:t>
      </w:r>
      <w:r>
        <w:rPr>
          <w:rFonts w:hint="eastAsia" w:ascii="Times New Roman" w:hAnsi="Times New Roman" w:eastAsia="仿宋_GB2312" w:cs="Times New Roman"/>
          <w:sz w:val="32"/>
          <w:szCs w:val="20"/>
          <w:lang w:val="en-US" w:eastAsia="zh-CN"/>
        </w:rPr>
        <w:t>区</w:t>
      </w:r>
      <w:r>
        <w:rPr>
          <w:rFonts w:hint="default" w:ascii="Times New Roman" w:hAnsi="Times New Roman" w:eastAsia="仿宋_GB2312" w:cs="Times New Roman"/>
          <w:sz w:val="32"/>
          <w:szCs w:val="20"/>
          <w:lang w:val="en-US" w:eastAsia="zh-CN"/>
        </w:rPr>
        <w:t>统计局局长</w:t>
      </w:r>
    </w:p>
    <w:p w14:paraId="338E2DEF">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20"/>
          <w:lang w:val="en-US" w:eastAsia="zh-CN"/>
        </w:rPr>
      </w:pPr>
      <w:r>
        <w:rPr>
          <w:rFonts w:hint="default" w:ascii="Times New Roman" w:hAnsi="Times New Roman" w:eastAsia="仿宋_GB2312" w:cs="Times New Roman"/>
          <w:sz w:val="32"/>
          <w:szCs w:val="20"/>
          <w:lang w:val="en-US" w:eastAsia="zh-CN"/>
        </w:rPr>
        <w:t xml:space="preserve">        </w:t>
      </w:r>
      <w:r>
        <w:rPr>
          <w:rFonts w:hint="eastAsia" w:ascii="Times New Roman" w:hAnsi="Times New Roman" w:eastAsia="仿宋_GB2312" w:cs="Times New Roman"/>
          <w:sz w:val="32"/>
          <w:szCs w:val="20"/>
          <w:lang w:val="en-US" w:eastAsia="zh-CN"/>
        </w:rPr>
        <w:t>乔志宇</w:t>
      </w:r>
      <w:r>
        <w:rPr>
          <w:rFonts w:hint="default" w:ascii="Times New Roman" w:hAnsi="Times New Roman" w:eastAsia="仿宋_GB2312" w:cs="Times New Roman"/>
          <w:sz w:val="32"/>
          <w:szCs w:val="20"/>
          <w:lang w:val="en-US" w:eastAsia="zh-CN"/>
        </w:rPr>
        <w:t xml:space="preserve">  </w:t>
      </w:r>
      <w:r>
        <w:rPr>
          <w:rFonts w:hint="eastAsia" w:ascii="Times New Roman" w:hAnsi="Times New Roman" w:eastAsia="仿宋_GB2312" w:cs="Times New Roman"/>
          <w:sz w:val="32"/>
          <w:szCs w:val="20"/>
          <w:lang w:val="en-US" w:eastAsia="zh-CN"/>
        </w:rPr>
        <w:t>区发改局</w:t>
      </w:r>
      <w:r>
        <w:rPr>
          <w:rFonts w:hint="default" w:ascii="Times New Roman" w:hAnsi="Times New Roman" w:eastAsia="仿宋_GB2312" w:cs="Times New Roman"/>
          <w:sz w:val="32"/>
          <w:szCs w:val="20"/>
          <w:lang w:val="en-US" w:eastAsia="zh-CN"/>
        </w:rPr>
        <w:t>副</w:t>
      </w:r>
      <w:r>
        <w:rPr>
          <w:rFonts w:hint="eastAsia" w:ascii="Times New Roman" w:hAnsi="Times New Roman" w:eastAsia="仿宋_GB2312" w:cs="Times New Roman"/>
          <w:sz w:val="32"/>
          <w:szCs w:val="20"/>
          <w:lang w:val="en-US" w:eastAsia="zh-CN"/>
        </w:rPr>
        <w:t>局长</w:t>
      </w:r>
    </w:p>
    <w:p w14:paraId="42CCB1FA">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20"/>
          <w:lang w:val="en-US" w:eastAsia="zh-CN"/>
        </w:rPr>
        <w:t xml:space="preserve">        </w:t>
      </w:r>
      <w:r>
        <w:rPr>
          <w:rFonts w:hint="eastAsia" w:ascii="Times New Roman" w:hAnsi="Times New Roman" w:eastAsia="仿宋_GB2312" w:cs="Times New Roman"/>
          <w:sz w:val="32"/>
          <w:szCs w:val="20"/>
          <w:lang w:val="en-US" w:eastAsia="zh-CN"/>
        </w:rPr>
        <w:t>贾京博</w:t>
      </w:r>
      <w:r>
        <w:rPr>
          <w:rFonts w:hint="default" w:ascii="Times New Roman" w:hAnsi="Times New Roman" w:eastAsia="仿宋_GB2312" w:cs="Times New Roman"/>
          <w:sz w:val="32"/>
          <w:szCs w:val="20"/>
          <w:lang w:val="en-US" w:eastAsia="zh-CN"/>
        </w:rPr>
        <w:t xml:space="preserve">  </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val="en-US" w:eastAsia="zh-CN"/>
        </w:rPr>
        <w:t>财政局副局长</w:t>
      </w:r>
    </w:p>
    <w:p w14:paraId="7E511542">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王思昭</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区农业农村局副局长</w:t>
      </w:r>
    </w:p>
    <w:p w14:paraId="603AC533">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成  员：</w:t>
      </w:r>
      <w:r>
        <w:rPr>
          <w:rFonts w:hint="eastAsia" w:ascii="Times New Roman" w:hAnsi="Times New Roman" w:eastAsia="仿宋_GB2312" w:cs="Times New Roman"/>
          <w:sz w:val="32"/>
          <w:szCs w:val="32"/>
          <w:lang w:val="en-US" w:eastAsia="zh-CN"/>
        </w:rPr>
        <w:t>孙  倩</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val="en-US" w:eastAsia="zh-CN"/>
        </w:rPr>
        <w:t>委宣传部副部长</w:t>
      </w:r>
    </w:p>
    <w:p w14:paraId="57BC91BF">
      <w:pPr>
        <w:keepNext w:val="0"/>
        <w:keepLines w:val="0"/>
        <w:pageBreakBefore w:val="0"/>
        <w:widowControl w:val="0"/>
        <w:suppressAutoHyphens/>
        <w:kinsoku/>
        <w:wordWrap/>
        <w:overflowPunct/>
        <w:topLinePunct/>
        <w:autoSpaceDE w:val="0"/>
        <w:autoSpaceDN/>
        <w:bidi w:val="0"/>
        <w:adjustRightInd/>
        <w:snapToGrid/>
        <w:spacing w:line="560" w:lineRule="exact"/>
        <w:ind w:firstLine="1896" w:firstLineChars="6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auto"/>
          <w:sz w:val="32"/>
          <w:szCs w:val="32"/>
          <w:lang w:val="en-US" w:eastAsia="zh-CN"/>
        </w:rPr>
        <w:t>刘炳琦</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val="en-US" w:eastAsia="zh-CN"/>
        </w:rPr>
        <w:t>公安局</w:t>
      </w:r>
      <w:r>
        <w:rPr>
          <w:rFonts w:hint="eastAsia" w:ascii="Times New Roman" w:hAnsi="Times New Roman" w:eastAsia="仿宋_GB2312" w:cs="Times New Roman"/>
          <w:sz w:val="32"/>
          <w:szCs w:val="32"/>
          <w:lang w:val="en-US" w:eastAsia="zh-CN"/>
        </w:rPr>
        <w:t>友好分局</w:t>
      </w:r>
      <w:r>
        <w:rPr>
          <w:rFonts w:hint="default" w:ascii="Times New Roman" w:hAnsi="Times New Roman" w:eastAsia="仿宋_GB2312" w:cs="Times New Roman"/>
          <w:sz w:val="32"/>
          <w:szCs w:val="32"/>
          <w:lang w:val="en-US" w:eastAsia="zh-CN"/>
        </w:rPr>
        <w:t>副局长</w:t>
      </w:r>
    </w:p>
    <w:p w14:paraId="6694F575">
      <w:pPr>
        <w:keepNext w:val="0"/>
        <w:keepLines w:val="0"/>
        <w:pageBreakBefore w:val="0"/>
        <w:widowControl w:val="0"/>
        <w:suppressAutoHyphens/>
        <w:kinsoku/>
        <w:wordWrap/>
        <w:overflowPunct/>
        <w:topLinePunct/>
        <w:autoSpaceDE w:val="0"/>
        <w:autoSpaceDN/>
        <w:bidi w:val="0"/>
        <w:adjustRightInd/>
        <w:snapToGrid/>
        <w:spacing w:line="560" w:lineRule="exact"/>
        <w:ind w:firstLine="1896" w:firstLineChars="600"/>
        <w:textAlignment w:val="auto"/>
        <w:rPr>
          <w:rFonts w:hint="default" w:ascii="Times New Roman" w:hAnsi="Times New Roman" w:eastAsia="仿宋_GB2312" w:cs="Times New Roman"/>
          <w:w w:val="70"/>
          <w:sz w:val="32"/>
          <w:szCs w:val="32"/>
          <w:lang w:val="en-US" w:eastAsia="zh-CN"/>
        </w:rPr>
      </w:pPr>
      <w:r>
        <w:rPr>
          <w:rFonts w:hint="eastAsia" w:ascii="Times New Roman" w:hAnsi="Times New Roman" w:eastAsia="仿宋_GB2312" w:cs="Times New Roman"/>
          <w:sz w:val="32"/>
          <w:szCs w:val="32"/>
          <w:lang w:val="en-US" w:eastAsia="zh-CN"/>
        </w:rPr>
        <w:t xml:space="preserve">孙  驰  </w:t>
      </w:r>
      <w:r>
        <w:rPr>
          <w:rFonts w:hint="eastAsia" w:ascii="Times New Roman" w:hAnsi="Times New Roman" w:eastAsia="仿宋_GB2312" w:cs="Times New Roman"/>
          <w:sz w:val="32"/>
          <w:szCs w:val="20"/>
          <w:lang w:val="en-US" w:eastAsia="zh-CN"/>
        </w:rPr>
        <w:t>友好林业局公司战略发展部部长</w:t>
      </w:r>
    </w:p>
    <w:p w14:paraId="55491125">
      <w:pPr>
        <w:keepNext w:val="0"/>
        <w:keepLines w:val="0"/>
        <w:pageBreakBefore w:val="0"/>
        <w:widowControl w:val="0"/>
        <w:suppressAutoHyphens/>
        <w:kinsoku/>
        <w:wordWrap/>
        <w:overflowPunct/>
        <w:topLinePunct/>
        <w:autoSpaceDE w:val="0"/>
        <w:autoSpaceDN/>
        <w:bidi w:val="0"/>
        <w:adjustRightInd/>
        <w:snapToGrid/>
        <w:spacing w:line="560" w:lineRule="exact"/>
        <w:ind w:firstLine="1896" w:firstLineChars="600"/>
        <w:textAlignment w:val="auto"/>
        <w:rPr>
          <w:rFonts w:hint="default"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32"/>
          <w:lang w:val="en-US" w:eastAsia="zh-CN"/>
        </w:rPr>
        <w:t xml:space="preserve">刘  冲  </w:t>
      </w:r>
      <w:r>
        <w:rPr>
          <w:rFonts w:hint="eastAsia" w:ascii="Times New Roman" w:hAnsi="Times New Roman" w:eastAsia="仿宋_GB2312" w:cs="Times New Roman"/>
          <w:sz w:val="32"/>
          <w:szCs w:val="20"/>
          <w:lang w:val="en-US" w:eastAsia="zh-CN"/>
        </w:rPr>
        <w:t>上甘岭林业局公司战略发展部部长</w:t>
      </w:r>
    </w:p>
    <w:p w14:paraId="2A1665A1">
      <w:pPr>
        <w:keepNext w:val="0"/>
        <w:keepLines w:val="0"/>
        <w:pageBreakBefore w:val="0"/>
        <w:widowControl w:val="0"/>
        <w:suppressAutoHyphens/>
        <w:kinsoku/>
        <w:wordWrap/>
        <w:overflowPunct/>
        <w:topLinePunct/>
        <w:autoSpaceDE w:val="0"/>
        <w:autoSpaceDN/>
        <w:bidi w:val="0"/>
        <w:adjustRightInd/>
        <w:snapToGrid/>
        <w:spacing w:line="560" w:lineRule="exact"/>
        <w:ind w:firstLine="1896" w:firstLineChars="6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许  丹</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区网络舆情监控和信息传播中心主任</w:t>
      </w:r>
    </w:p>
    <w:p w14:paraId="1786FAD8">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textAlignment w:val="auto"/>
        <w:rPr>
          <w:rFonts w:hint="eastAsia" w:ascii="方正仿宋_GB2312" w:hAnsi="方正仿宋_GB2312" w:eastAsia="方正仿宋_GB2312" w:cs="方正仿宋_GB2312"/>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陈  磊</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val="en-US" w:eastAsia="zh-CN"/>
        </w:rPr>
        <w:t>政府</w:t>
      </w:r>
      <w:r>
        <w:rPr>
          <w:rFonts w:hint="eastAsia" w:ascii="Times New Roman" w:hAnsi="Times New Roman" w:eastAsia="仿宋_GB2312" w:cs="Times New Roman"/>
          <w:sz w:val="32"/>
          <w:szCs w:val="32"/>
          <w:lang w:val="en-US" w:eastAsia="zh-CN"/>
        </w:rPr>
        <w:t>办</w:t>
      </w:r>
      <w:r>
        <w:rPr>
          <w:rFonts w:hint="default" w:ascii="Times New Roman" w:hAnsi="Times New Roman" w:eastAsia="仿宋_GB2312" w:cs="Times New Roman"/>
          <w:sz w:val="32"/>
          <w:szCs w:val="32"/>
          <w:lang w:val="en-US" w:eastAsia="zh-CN"/>
        </w:rPr>
        <w:t>副主任</w:t>
      </w:r>
    </w:p>
    <w:p w14:paraId="63BD6447">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张  云</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区工信局副局长</w:t>
      </w:r>
    </w:p>
    <w:p w14:paraId="74D1CF96">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高洁琼</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区人社局</w:t>
      </w:r>
      <w:r>
        <w:rPr>
          <w:rFonts w:hint="default" w:ascii="Times New Roman" w:hAnsi="Times New Roman" w:eastAsia="仿宋_GB2312" w:cs="Times New Roman"/>
          <w:sz w:val="32"/>
          <w:szCs w:val="32"/>
          <w:lang w:val="en-US" w:eastAsia="zh-CN"/>
        </w:rPr>
        <w:t>副局长</w:t>
      </w:r>
    </w:p>
    <w:p w14:paraId="52CE6A83">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u w:val="none"/>
          <w:lang w:val="en-US" w:eastAsia="zh-CN"/>
        </w:rPr>
        <w:t xml:space="preserve">      </w:t>
      </w:r>
      <w:r>
        <w:rPr>
          <w:rFonts w:hint="eastAsia" w:ascii="Times New Roman" w:hAnsi="Times New Roman" w:eastAsia="仿宋_GB2312" w:cs="Times New Roman"/>
          <w:sz w:val="32"/>
          <w:szCs w:val="32"/>
          <w:u w:val="none"/>
          <w:lang w:val="en-US" w:eastAsia="zh-CN"/>
        </w:rPr>
        <w:t>林瑞鑫</w:t>
      </w:r>
      <w:r>
        <w:rPr>
          <w:rFonts w:hint="default" w:ascii="Times New Roman" w:hAnsi="Times New Roman" w:eastAsia="仿宋_GB2312" w:cs="Times New Roman"/>
          <w:sz w:val="32"/>
          <w:szCs w:val="32"/>
          <w:u w:val="none"/>
          <w:lang w:val="en-US" w:eastAsia="zh-CN"/>
        </w:rPr>
        <w:t xml:space="preserve">  </w:t>
      </w:r>
      <w:r>
        <w:rPr>
          <w:rFonts w:hint="eastAsia" w:ascii="Times New Roman" w:hAnsi="Times New Roman" w:eastAsia="仿宋_GB2312" w:cs="Times New Roman"/>
          <w:sz w:val="32"/>
          <w:szCs w:val="32"/>
          <w:u w:val="none"/>
          <w:lang w:val="en-US" w:eastAsia="zh-CN"/>
        </w:rPr>
        <w:t>区</w:t>
      </w:r>
      <w:r>
        <w:rPr>
          <w:rFonts w:hint="default" w:ascii="Times New Roman" w:hAnsi="Times New Roman" w:eastAsia="仿宋_GB2312" w:cs="Times New Roman"/>
          <w:sz w:val="32"/>
          <w:szCs w:val="32"/>
          <w:u w:val="none"/>
          <w:lang w:val="en-US" w:eastAsia="zh-CN"/>
        </w:rPr>
        <w:t>民政局副局长</w:t>
      </w:r>
    </w:p>
    <w:p w14:paraId="779B57A3">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王  旭</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区统计局普查中心主任</w:t>
      </w:r>
    </w:p>
    <w:p w14:paraId="3FC869A7">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韩  丹</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区</w:t>
      </w:r>
      <w:r>
        <w:rPr>
          <w:rFonts w:hint="eastAsia" w:ascii="仿宋_GB2312" w:hAnsi="仿宋_GB2312" w:eastAsia="仿宋_GB2312" w:cs="仿宋_GB2312"/>
          <w:sz w:val="32"/>
          <w:szCs w:val="32"/>
        </w:rPr>
        <w:t>文体广旅局</w:t>
      </w:r>
      <w:r>
        <w:rPr>
          <w:rFonts w:hint="eastAsia" w:ascii="仿宋_GB2312" w:hAnsi="仿宋_GB2312" w:eastAsia="仿宋_GB2312" w:cs="仿宋_GB2312"/>
          <w:sz w:val="32"/>
          <w:szCs w:val="32"/>
          <w:lang w:val="en-US" w:eastAsia="zh-CN"/>
        </w:rPr>
        <w:t>副局长</w:t>
      </w:r>
    </w:p>
    <w:p w14:paraId="23C0C665">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张  浩</w:t>
      </w:r>
      <w:r>
        <w:rPr>
          <w:rFonts w:hint="default" w:ascii="Times New Roman" w:hAnsi="Times New Roman" w:eastAsia="仿宋_GB2312" w:cs="Times New Roman"/>
          <w:sz w:val="32"/>
          <w:szCs w:val="32"/>
          <w:lang w:val="en-US" w:eastAsia="zh-CN"/>
        </w:rPr>
        <w:t xml:space="preserve">  市自然资源局</w:t>
      </w:r>
      <w:r>
        <w:rPr>
          <w:rFonts w:hint="eastAsia" w:ascii="Times New Roman" w:hAnsi="Times New Roman" w:eastAsia="仿宋_GB2312" w:cs="Times New Roman"/>
          <w:sz w:val="32"/>
          <w:szCs w:val="32"/>
          <w:lang w:val="en-US" w:eastAsia="zh-CN"/>
        </w:rPr>
        <w:t>友好分局</w:t>
      </w:r>
      <w:r>
        <w:rPr>
          <w:rFonts w:hint="default" w:ascii="Times New Roman" w:hAnsi="Times New Roman" w:eastAsia="仿宋_GB2312" w:cs="Times New Roman"/>
          <w:sz w:val="32"/>
          <w:szCs w:val="32"/>
          <w:lang w:val="en-US" w:eastAsia="zh-CN"/>
        </w:rPr>
        <w:t>副局长</w:t>
      </w:r>
    </w:p>
    <w:p w14:paraId="4AA11827">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曹世博</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区林草</w:t>
      </w:r>
      <w:r>
        <w:rPr>
          <w:rFonts w:hint="default" w:ascii="Times New Roman" w:hAnsi="Times New Roman" w:eastAsia="仿宋_GB2312" w:cs="Times New Roman"/>
          <w:sz w:val="32"/>
          <w:szCs w:val="32"/>
          <w:lang w:val="en-US" w:eastAsia="zh-CN"/>
        </w:rPr>
        <w:t>局副局长</w:t>
      </w:r>
    </w:p>
    <w:p w14:paraId="7400C165">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孙  雪</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val="en-US" w:eastAsia="zh-CN"/>
        </w:rPr>
        <w:t>司法局</w:t>
      </w:r>
      <w:r>
        <w:rPr>
          <w:rFonts w:hint="eastAsia" w:ascii="Times New Roman" w:hAnsi="Times New Roman" w:eastAsia="仿宋_GB2312" w:cs="Times New Roman"/>
          <w:sz w:val="32"/>
          <w:szCs w:val="32"/>
          <w:lang w:val="en-US" w:eastAsia="zh-CN"/>
        </w:rPr>
        <w:t>副局长</w:t>
      </w:r>
    </w:p>
    <w:p w14:paraId="3A801FD1">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lang w:val="en-US" w:eastAsia="zh-CN"/>
        </w:rPr>
        <w:t>邹  磊  市市场监管局友好分局四级主任科员</w:t>
      </w:r>
    </w:p>
    <w:p w14:paraId="4D55EA66">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textAlignment w:val="auto"/>
        <w:rPr>
          <w:rFonts w:hint="eastAsia" w:ascii="Times New Roman" w:hAnsi="Times New Roman" w:eastAsia="仿宋_GB2312" w:cs="Times New Roman"/>
          <w:sz w:val="32"/>
          <w:szCs w:val="20"/>
          <w:lang w:val="en-US" w:eastAsia="zh-CN"/>
        </w:rPr>
      </w:pPr>
      <w:r>
        <w:rPr>
          <w:rFonts w:hint="eastAsia" w:ascii="仿宋_GB2312" w:hAnsi="仿宋_GB2312" w:eastAsia="仿宋_GB2312" w:cs="仿宋_GB2312"/>
          <w:sz w:val="32"/>
          <w:szCs w:val="32"/>
          <w:lang w:val="en-US" w:eastAsia="zh-CN"/>
        </w:rPr>
        <w:t xml:space="preserve">        尹贺健  </w:t>
      </w:r>
      <w:r>
        <w:rPr>
          <w:rFonts w:hint="eastAsia" w:ascii="Times New Roman" w:hAnsi="Times New Roman" w:eastAsia="仿宋_GB2312" w:cs="Times New Roman"/>
          <w:sz w:val="32"/>
          <w:szCs w:val="20"/>
          <w:lang w:val="en-US" w:eastAsia="zh-CN"/>
        </w:rPr>
        <w:t>区人武部保障科助理员</w:t>
      </w:r>
    </w:p>
    <w:p w14:paraId="50C7281D">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领导小组办公室</w:t>
      </w:r>
      <w:r>
        <w:rPr>
          <w:rFonts w:hint="eastAsia" w:ascii="Times New Roman" w:hAnsi="Times New Roman" w:eastAsia="仿宋_GB2312" w:cs="Times New Roman"/>
          <w:sz w:val="32"/>
          <w:szCs w:val="32"/>
          <w:lang w:val="en-US" w:eastAsia="zh-CN"/>
        </w:rPr>
        <w:t>设在区统计局，办公室主任由区统计局普查中心主任王旭</w:t>
      </w:r>
      <w:r>
        <w:rPr>
          <w:rFonts w:hint="default" w:ascii="Times New Roman" w:hAnsi="Times New Roman" w:eastAsia="仿宋_GB2312" w:cs="Times New Roman"/>
          <w:sz w:val="32"/>
          <w:szCs w:val="32"/>
          <w:lang w:val="en-US" w:eastAsia="zh-CN"/>
        </w:rPr>
        <w:t>兼任</w:t>
      </w:r>
      <w:r>
        <w:rPr>
          <w:rFonts w:hint="eastAsia" w:ascii="Times New Roman" w:hAnsi="Times New Roman" w:eastAsia="仿宋_GB2312" w:cs="Times New Roman"/>
          <w:sz w:val="32"/>
          <w:szCs w:val="32"/>
          <w:lang w:val="en-US" w:eastAsia="zh-CN"/>
        </w:rPr>
        <w:t>。</w:t>
      </w:r>
    </w:p>
    <w:p w14:paraId="1B8760C9">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jc w:val="both"/>
        <w:textAlignment w:val="auto"/>
        <w:rPr>
          <w:rFonts w:hint="default" w:ascii="黑体" w:hAnsi="黑体" w:eastAsia="黑体" w:cs="黑体"/>
          <w:sz w:val="32"/>
          <w:szCs w:val="20"/>
          <w:lang w:val="en-US" w:eastAsia="zh-CN"/>
        </w:rPr>
      </w:pPr>
      <w:r>
        <w:rPr>
          <w:rFonts w:hint="default" w:ascii="黑体" w:hAnsi="黑体" w:eastAsia="黑体" w:cs="黑体"/>
          <w:sz w:val="32"/>
          <w:szCs w:val="20"/>
          <w:lang w:val="en-US" w:eastAsia="zh-CN"/>
        </w:rPr>
        <w:t>二、目标任务</w:t>
      </w:r>
    </w:p>
    <w:p w14:paraId="38C0C4ED">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20"/>
          <w:lang w:val="en-US" w:eastAsia="zh-CN"/>
        </w:rPr>
      </w:pPr>
      <w:r>
        <w:rPr>
          <w:rFonts w:hint="default" w:ascii="Times New Roman" w:hAnsi="Times New Roman" w:eastAsia="仿宋_GB2312" w:cs="Times New Roman"/>
          <w:sz w:val="32"/>
          <w:szCs w:val="20"/>
          <w:lang w:val="en-US" w:eastAsia="zh-CN"/>
        </w:rPr>
        <w:t>第四次全国农业普查是在以中国式现代化全面推进中华民族伟大复兴的新征程上开展的一项重大国情国力调查，要以习近平新时代中国特色社会主义思想为指导，深入贯彻党的二十大和二十届二中、三中全会精神，认真落实党中央、国务院决策部署，坚持依法普查、科学普查、为民普查，坚持实事求是、守正创新，全面摸清新时代我</w:t>
      </w:r>
      <w:r>
        <w:rPr>
          <w:rFonts w:hint="eastAsia" w:ascii="Times New Roman" w:hAnsi="Times New Roman" w:eastAsia="仿宋_GB2312" w:cs="Times New Roman"/>
          <w:sz w:val="32"/>
          <w:szCs w:val="20"/>
          <w:lang w:val="en-US" w:eastAsia="zh-CN"/>
        </w:rPr>
        <w:t>区“</w:t>
      </w:r>
      <w:r>
        <w:rPr>
          <w:rFonts w:hint="default" w:ascii="Times New Roman" w:hAnsi="Times New Roman" w:eastAsia="仿宋_GB2312" w:cs="Times New Roman"/>
          <w:sz w:val="32"/>
          <w:szCs w:val="20"/>
          <w:lang w:val="en-US" w:eastAsia="zh-CN"/>
        </w:rPr>
        <w:t>三农</w:t>
      </w:r>
      <w:r>
        <w:rPr>
          <w:rFonts w:hint="eastAsia" w:ascii="Times New Roman" w:hAnsi="Times New Roman" w:eastAsia="仿宋_GB2312" w:cs="Times New Roman"/>
          <w:sz w:val="32"/>
          <w:szCs w:val="20"/>
          <w:lang w:val="en-US" w:eastAsia="zh-CN"/>
        </w:rPr>
        <w:t>”</w:t>
      </w:r>
      <w:r>
        <w:rPr>
          <w:rFonts w:hint="default" w:ascii="Times New Roman" w:hAnsi="Times New Roman" w:eastAsia="仿宋_GB2312" w:cs="Times New Roman"/>
          <w:sz w:val="32"/>
          <w:szCs w:val="20"/>
          <w:lang w:val="en-US" w:eastAsia="zh-CN"/>
        </w:rPr>
        <w:t>家底，客观反映农业发展新情况、乡村建设新面貌、农民生活新变化、农村改革新成效，</w:t>
      </w:r>
      <w:r>
        <w:rPr>
          <w:rFonts w:hint="default" w:ascii="Times New Roman" w:hAnsi="Times New Roman" w:eastAsia="仿宋_GB2312" w:cs="Times New Roman"/>
          <w:color w:val="auto"/>
          <w:sz w:val="32"/>
          <w:szCs w:val="20"/>
          <w:lang w:val="en-US" w:eastAsia="zh-CN"/>
        </w:rPr>
        <w:t>为</w:t>
      </w:r>
      <w:r>
        <w:rPr>
          <w:rFonts w:hint="eastAsia" w:ascii="Times New Roman" w:hAnsi="Times New Roman" w:eastAsia="仿宋_GB2312" w:cs="Times New Roman"/>
          <w:color w:val="auto"/>
          <w:sz w:val="32"/>
          <w:szCs w:val="20"/>
          <w:lang w:val="en-US" w:eastAsia="zh-CN"/>
        </w:rPr>
        <w:t>贯彻执行“</w:t>
      </w:r>
      <w:r>
        <w:rPr>
          <w:rFonts w:hint="default" w:ascii="Times New Roman" w:hAnsi="Times New Roman" w:eastAsia="仿宋_GB2312" w:cs="Times New Roman"/>
          <w:color w:val="auto"/>
          <w:sz w:val="32"/>
          <w:szCs w:val="20"/>
          <w:lang w:val="en-US" w:eastAsia="zh-CN"/>
        </w:rPr>
        <w:t>三农</w:t>
      </w:r>
      <w:r>
        <w:rPr>
          <w:rFonts w:hint="eastAsia" w:ascii="Times New Roman" w:hAnsi="Times New Roman" w:eastAsia="仿宋_GB2312" w:cs="Times New Roman"/>
          <w:color w:val="auto"/>
          <w:sz w:val="32"/>
          <w:szCs w:val="20"/>
          <w:lang w:val="en-US" w:eastAsia="zh-CN"/>
        </w:rPr>
        <w:t>”</w:t>
      </w:r>
      <w:r>
        <w:rPr>
          <w:rFonts w:hint="default" w:ascii="Times New Roman" w:hAnsi="Times New Roman" w:eastAsia="仿宋_GB2312" w:cs="Times New Roman"/>
          <w:color w:val="auto"/>
          <w:sz w:val="32"/>
          <w:szCs w:val="20"/>
          <w:lang w:val="en-US" w:eastAsia="zh-CN"/>
        </w:rPr>
        <w:t>政策、</w:t>
      </w:r>
      <w:r>
        <w:rPr>
          <w:rFonts w:hint="default" w:ascii="Times New Roman" w:hAnsi="Times New Roman" w:eastAsia="仿宋_GB2312" w:cs="Times New Roman"/>
          <w:sz w:val="32"/>
          <w:szCs w:val="20"/>
          <w:lang w:val="en-US" w:eastAsia="zh-CN"/>
        </w:rPr>
        <w:t>推进乡村全面振兴、加快农业农村现代化、建设农业强</w:t>
      </w:r>
      <w:r>
        <w:rPr>
          <w:rFonts w:hint="eastAsia" w:ascii="Times New Roman" w:hAnsi="Times New Roman" w:eastAsia="仿宋_GB2312" w:cs="Times New Roman"/>
          <w:sz w:val="32"/>
          <w:szCs w:val="20"/>
          <w:lang w:val="en-US" w:eastAsia="zh-CN"/>
        </w:rPr>
        <w:t>区</w:t>
      </w:r>
      <w:r>
        <w:rPr>
          <w:rFonts w:hint="default" w:ascii="Times New Roman" w:hAnsi="Times New Roman" w:eastAsia="仿宋_GB2312" w:cs="Times New Roman"/>
          <w:sz w:val="32"/>
          <w:szCs w:val="20"/>
          <w:lang w:val="en-US" w:eastAsia="zh-CN"/>
        </w:rPr>
        <w:t>，提供科学准确的统计信息支持。</w:t>
      </w:r>
    </w:p>
    <w:p w14:paraId="0D03BDB0">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jc w:val="both"/>
        <w:textAlignment w:val="auto"/>
        <w:rPr>
          <w:rFonts w:hint="eastAsia" w:ascii="Times New Roman" w:hAnsi="Times New Roman" w:eastAsia="方正黑体_GBK" w:cs="Times New Roman"/>
          <w:sz w:val="32"/>
          <w:szCs w:val="20"/>
          <w:lang w:val="en-US" w:eastAsia="zh-CN"/>
        </w:rPr>
      </w:pPr>
      <w:r>
        <w:rPr>
          <w:rFonts w:hint="eastAsia" w:ascii="黑体" w:hAnsi="黑体" w:eastAsia="黑体" w:cs="黑体"/>
          <w:sz w:val="32"/>
          <w:szCs w:val="20"/>
          <w:lang w:val="en-US" w:eastAsia="zh-CN"/>
        </w:rPr>
        <w:t>三、职责分工</w:t>
      </w:r>
    </w:p>
    <w:p w14:paraId="2B510CF8">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sz w:val="32"/>
          <w:szCs w:val="20"/>
          <w:lang w:val="en-US" w:eastAsia="zh-CN"/>
        </w:rPr>
      </w:pPr>
      <w:r>
        <w:rPr>
          <w:rFonts w:hint="eastAsia" w:ascii="Times New Roman" w:hAnsi="Times New Roman" w:eastAsia="仿宋_GB2312" w:cs="Times New Roman"/>
          <w:color w:val="auto"/>
          <w:sz w:val="32"/>
          <w:szCs w:val="20"/>
          <w:lang w:val="en-US" w:eastAsia="zh-CN"/>
        </w:rPr>
        <w:t>伊春市友好区第四次全国农业普查领导小组负责组织全区农业普查工作，协调解决普查中的重大问题。领导小组办公室负责普查日常工作的组织和协调。领导小组成员单位按照各自职能，各负其责、通力协作、密切配合、信息共享，协调解决普查中的重大问题，共同做好普查工作。各</w:t>
      </w:r>
      <w:r>
        <w:rPr>
          <w:rFonts w:hint="eastAsia" w:ascii="仿宋_GB2312" w:hAnsi="仿宋_GB2312" w:eastAsia="仿宋_GB2312" w:cs="仿宋_GB2312"/>
          <w:color w:val="auto"/>
          <w:sz w:val="32"/>
          <w:szCs w:val="20"/>
          <w:lang w:val="en-US" w:eastAsia="zh-CN"/>
        </w:rPr>
        <w:t>镇（街道办事处）要抓紧成立相应的普查领导小组及办公室，及时采取措施解决普查工作中遇到的困难和问题，认真组织实施好本地区的普查工作。</w:t>
      </w:r>
    </w:p>
    <w:p w14:paraId="77A32B2F">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sz w:val="32"/>
          <w:szCs w:val="20"/>
          <w:lang w:val="en-US" w:eastAsia="zh-CN"/>
        </w:rPr>
      </w:pPr>
      <w:r>
        <w:rPr>
          <w:rFonts w:hint="eastAsia" w:ascii="仿宋_GB2312" w:hAnsi="仿宋_GB2312" w:eastAsia="仿宋_GB2312" w:cs="仿宋_GB2312"/>
          <w:color w:val="auto"/>
          <w:sz w:val="32"/>
          <w:szCs w:val="20"/>
          <w:lang w:val="en-US" w:eastAsia="zh-CN"/>
        </w:rPr>
        <w:t>区统计局：负责具体普查工作的组织、协调和实施，做好普查数据的收集、整理、审核、录入及汇总分析工作；负责对普查人员进行业务培训，确保普查数据真实、准确、完整；组织开展普查事后质量抽查，对普查工作进行总结和评估，形成普查报告；及时向工作专班汇报普查工作进展情况及遇到的问题，提出解决方案和建议。</w:t>
      </w:r>
    </w:p>
    <w:p w14:paraId="65EB70FA">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sz w:val="32"/>
          <w:szCs w:val="20"/>
          <w:lang w:val="en-US" w:eastAsia="zh-CN"/>
        </w:rPr>
      </w:pPr>
      <w:r>
        <w:rPr>
          <w:rFonts w:hint="eastAsia" w:ascii="仿宋_GB2312" w:hAnsi="仿宋_GB2312" w:eastAsia="仿宋_GB2312" w:cs="仿宋_GB2312"/>
          <w:color w:val="auto"/>
          <w:sz w:val="32"/>
          <w:szCs w:val="20"/>
          <w:lang w:val="en-US" w:eastAsia="zh-CN"/>
        </w:rPr>
        <w:t>区发改局：负责和协调固定资产投资保障方面的事项；结合全区农业发展规划，为普查工作提供宏观政策指导；协调相关部门推进农业基础设施建设普查工作，确保普查内容与全区农业发展战略相衔接；对普查中涉及的农业产业发展重大项目进行梳理和分析，为后续农业政策制定提供依据。​</w:t>
      </w:r>
    </w:p>
    <w:p w14:paraId="5FB4C1C5">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sz w:val="32"/>
          <w:szCs w:val="20"/>
          <w:lang w:val="en-US" w:eastAsia="zh-CN"/>
        </w:rPr>
      </w:pPr>
      <w:r>
        <w:rPr>
          <w:rFonts w:hint="eastAsia" w:ascii="仿宋_GB2312" w:hAnsi="仿宋_GB2312" w:eastAsia="仿宋_GB2312" w:cs="仿宋_GB2312"/>
          <w:color w:val="auto"/>
          <w:sz w:val="32"/>
          <w:szCs w:val="20"/>
          <w:lang w:val="en-US" w:eastAsia="zh-CN"/>
        </w:rPr>
        <w:t>区财政局：负责和协调普查经费方面的事项；根据普查工作实际需要，及时调整经费预算，保障普查工作顺利推进。</w:t>
      </w:r>
    </w:p>
    <w:p w14:paraId="10ACA176">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sz w:val="32"/>
          <w:szCs w:val="20"/>
          <w:lang w:val="en-US" w:eastAsia="zh-CN"/>
        </w:rPr>
      </w:pPr>
      <w:r>
        <w:rPr>
          <w:rFonts w:hint="eastAsia" w:ascii="仿宋_GB2312" w:hAnsi="仿宋_GB2312" w:eastAsia="仿宋_GB2312" w:cs="仿宋_GB2312"/>
          <w:color w:val="auto"/>
          <w:sz w:val="32"/>
          <w:szCs w:val="20"/>
          <w:lang w:val="en-US" w:eastAsia="zh-CN"/>
        </w:rPr>
        <w:t>区农业农村局：负责和协调乡村振兴、农业生产等方面的事项；</w:t>
      </w:r>
      <w:r>
        <w:rPr>
          <w:rFonts w:hint="eastAsia" w:ascii="仿宋_GB2312" w:hAnsi="仿宋_GB2312" w:eastAsia="仿宋_GB2312" w:cs="仿宋_GB2312"/>
          <w:color w:val="auto"/>
          <w:sz w:val="32"/>
          <w:szCs w:val="32"/>
          <w:highlight w:val="none"/>
        </w:rPr>
        <w:t>负责提供本部门掌握的行政记录，组织协调本系统向同级普查机构提供其掌握的相关资料，协调地方农业</w:t>
      </w:r>
      <w:r>
        <w:rPr>
          <w:rFonts w:hint="eastAsia" w:ascii="仿宋_GB2312" w:hAnsi="仿宋_GB2312" w:eastAsia="仿宋_GB2312" w:cs="仿宋_GB2312"/>
          <w:color w:val="auto"/>
          <w:sz w:val="32"/>
          <w:szCs w:val="32"/>
          <w:highlight w:val="none"/>
          <w:lang w:eastAsia="zh-CN"/>
        </w:rPr>
        <w:t>部门</w:t>
      </w:r>
      <w:r>
        <w:rPr>
          <w:rFonts w:hint="eastAsia" w:ascii="仿宋_GB2312" w:hAnsi="仿宋_GB2312" w:eastAsia="仿宋_GB2312" w:cs="仿宋_GB2312"/>
          <w:color w:val="auto"/>
          <w:sz w:val="32"/>
          <w:szCs w:val="32"/>
          <w:highlight w:val="none"/>
        </w:rPr>
        <w:t>参与普查工作；协助开展相关单位名录的核实、比对、查找和反馈</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20"/>
          <w:lang w:val="en-US" w:eastAsia="zh-CN"/>
        </w:rPr>
        <w:t>负责和协调水利基础设施信息等方面事项，协助普查机构开展水利设施普查工作，确保水利基础设施信息准确完整；提供农田水利设施建设、水资源利用等相关资料。</w:t>
      </w:r>
    </w:p>
    <w:p w14:paraId="3EF6EC48">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20"/>
          <w:lang w:val="en-US" w:eastAsia="zh-CN"/>
        </w:rPr>
        <w:t>区委宣传部、</w:t>
      </w:r>
      <w:r>
        <w:rPr>
          <w:rFonts w:hint="eastAsia" w:ascii="Times New Roman" w:hAnsi="Times New Roman" w:eastAsia="仿宋_GB2312" w:cs="Times New Roman"/>
          <w:sz w:val="32"/>
          <w:szCs w:val="32"/>
          <w:lang w:val="en-US" w:eastAsia="zh-CN"/>
        </w:rPr>
        <w:t>区网络舆情监控和信息传播中心</w:t>
      </w:r>
      <w:r>
        <w:rPr>
          <w:rFonts w:hint="eastAsia" w:ascii="仿宋_GB2312" w:hAnsi="仿宋_GB2312" w:eastAsia="仿宋_GB2312" w:cs="仿宋_GB2312"/>
          <w:color w:val="auto"/>
          <w:sz w:val="32"/>
          <w:szCs w:val="20"/>
          <w:lang w:val="en-US" w:eastAsia="zh-CN"/>
        </w:rPr>
        <w:t>、区文体广旅局：与区统计局共同负责和协调普查宣传动员方面的事项，</w:t>
      </w:r>
      <w:r>
        <w:rPr>
          <w:rFonts w:hint="eastAsia" w:ascii="仿宋_GB2312" w:hAnsi="仿宋_GB2312" w:eastAsia="仿宋_GB2312" w:cs="仿宋_GB2312"/>
          <w:color w:val="auto"/>
          <w:sz w:val="32"/>
          <w:szCs w:val="32"/>
          <w:highlight w:val="none"/>
          <w:lang w:eastAsia="zh-CN"/>
        </w:rPr>
        <w:t>共同策划和组织普查宣传工作；</w:t>
      </w:r>
      <w:r>
        <w:rPr>
          <w:rFonts w:hint="eastAsia" w:ascii="仿宋_GB2312" w:hAnsi="仿宋_GB2312" w:eastAsia="仿宋_GB2312" w:cs="仿宋_GB2312"/>
          <w:color w:val="auto"/>
          <w:sz w:val="32"/>
          <w:szCs w:val="32"/>
          <w:highlight w:val="none"/>
          <w:lang w:val="en-US" w:eastAsia="zh-CN"/>
        </w:rPr>
        <w:t>加强对网络舆情的监测和引导，及时回应社会关切，营造良好的舆论环境；利用新媒体平台开展多样化的普查宣传活动，提高普查工作的社会知晓度和参与度；</w:t>
      </w:r>
      <w:r>
        <w:rPr>
          <w:rFonts w:hint="eastAsia" w:ascii="仿宋_GB2312" w:hAnsi="仿宋_GB2312" w:eastAsia="仿宋_GB2312" w:cs="仿宋_GB2312"/>
          <w:color w:val="auto"/>
          <w:sz w:val="32"/>
          <w:szCs w:val="32"/>
          <w:highlight w:val="none"/>
          <w:lang w:eastAsia="zh-CN"/>
        </w:rPr>
        <w:t>广泛深入宣传普查的重要意义和要求，为普查工作顺利实施创造良好的舆论氛围。</w:t>
      </w:r>
    </w:p>
    <w:p w14:paraId="30CE9E1C">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sz w:val="32"/>
          <w:szCs w:val="20"/>
          <w:lang w:val="en-US" w:eastAsia="zh-CN"/>
        </w:rPr>
      </w:pPr>
      <w:r>
        <w:rPr>
          <w:rFonts w:hint="eastAsia" w:ascii="仿宋_GB2312" w:hAnsi="仿宋_GB2312" w:eastAsia="仿宋_GB2312" w:cs="仿宋_GB2312"/>
          <w:color w:val="auto"/>
          <w:sz w:val="32"/>
          <w:szCs w:val="20"/>
          <w:lang w:val="en-US" w:eastAsia="zh-CN"/>
        </w:rPr>
        <w:t>区政府办：</w:t>
      </w:r>
      <w:r>
        <w:rPr>
          <w:rFonts w:hint="eastAsia" w:ascii="仿宋_GB2312" w:hAnsi="Times New Roman" w:eastAsia="仿宋_GB2312" w:cs="Times New Roman"/>
          <w:sz w:val="32"/>
          <w:szCs w:val="32"/>
        </w:rPr>
        <w:t>对普查数据进行深入研究和分析，把关相关研究报告</w:t>
      </w:r>
      <w:r>
        <w:rPr>
          <w:rFonts w:hint="eastAsia" w:ascii="仿宋_GB2312" w:hAnsi="仿宋_GB2312" w:eastAsia="仿宋_GB2312" w:cs="仿宋_GB2312"/>
          <w:color w:val="auto"/>
          <w:sz w:val="32"/>
          <w:szCs w:val="20"/>
          <w:lang w:val="en-US" w:eastAsia="zh-CN"/>
        </w:rPr>
        <w:t>；为政府制定农业发展政策提供决策参考，推动普查成果转化应用；</w:t>
      </w:r>
      <w:r>
        <w:rPr>
          <w:rFonts w:hint="eastAsia" w:ascii="仿宋_GB2312" w:hAnsi="Times New Roman" w:eastAsia="仿宋_GB2312" w:cs="Times New Roman"/>
          <w:sz w:val="32"/>
          <w:szCs w:val="32"/>
        </w:rPr>
        <w:t>支持配合相关部门开展农业普查课题研究，探索农业发展新路径和新模式</w:t>
      </w:r>
      <w:r>
        <w:rPr>
          <w:rFonts w:hint="eastAsia" w:ascii="仿宋_GB2312" w:hAnsi="仿宋_GB2312" w:eastAsia="仿宋_GB2312" w:cs="仿宋_GB2312"/>
          <w:color w:val="auto"/>
          <w:sz w:val="32"/>
          <w:szCs w:val="20"/>
          <w:lang w:val="en-US" w:eastAsia="zh-CN"/>
        </w:rPr>
        <w:t>。</w:t>
      </w:r>
    </w:p>
    <w:p w14:paraId="159DD8CE">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sz w:val="32"/>
          <w:szCs w:val="20"/>
          <w:lang w:val="en-US" w:eastAsia="zh-CN"/>
        </w:rPr>
      </w:pPr>
      <w:r>
        <w:rPr>
          <w:rFonts w:hint="eastAsia" w:ascii="仿宋_GB2312" w:hAnsi="仿宋_GB2312" w:eastAsia="仿宋_GB2312" w:cs="仿宋_GB2312"/>
          <w:color w:val="auto"/>
          <w:sz w:val="32"/>
          <w:szCs w:val="20"/>
          <w:lang w:val="en-US" w:eastAsia="zh-CN"/>
        </w:rPr>
        <w:t>区工信局：负责协调</w:t>
      </w:r>
      <w:r>
        <w:rPr>
          <w:rFonts w:hint="eastAsia" w:ascii="仿宋_GB2312" w:hAnsi="仿宋_GB2312" w:eastAsia="仿宋_GB2312" w:cs="仿宋_GB2312"/>
          <w:b w:val="0"/>
          <w:bCs w:val="0"/>
          <w:color w:val="auto"/>
          <w:sz w:val="32"/>
          <w:szCs w:val="20"/>
          <w:lang w:val="en-US" w:eastAsia="zh-CN"/>
        </w:rPr>
        <w:t>军民融合</w:t>
      </w:r>
      <w:r>
        <w:rPr>
          <w:rFonts w:hint="eastAsia" w:ascii="仿宋_GB2312" w:hAnsi="仿宋_GB2312" w:eastAsia="仿宋_GB2312" w:cs="仿宋_GB2312"/>
          <w:color w:val="auto"/>
          <w:sz w:val="32"/>
          <w:szCs w:val="20"/>
          <w:lang w:val="en-US" w:eastAsia="zh-CN"/>
        </w:rPr>
        <w:t>领域中涉及农业普查相关事项。</w:t>
      </w:r>
    </w:p>
    <w:p w14:paraId="6CF9B6D3">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sz w:val="32"/>
          <w:szCs w:val="20"/>
          <w:lang w:val="en-US" w:eastAsia="zh-CN"/>
        </w:rPr>
      </w:pPr>
      <w:r>
        <w:rPr>
          <w:rFonts w:hint="eastAsia" w:ascii="仿宋_GB2312" w:hAnsi="仿宋_GB2312" w:eastAsia="仿宋_GB2312" w:cs="仿宋_GB2312"/>
          <w:color w:val="auto"/>
          <w:sz w:val="32"/>
          <w:szCs w:val="20"/>
          <w:lang w:val="en-US" w:eastAsia="zh-CN"/>
        </w:rPr>
        <w:t>区人社局、区民政局：及时准确提供掌握的普查有关基础资料、部门行政记录和数据信息；</w:t>
      </w:r>
      <w:r>
        <w:rPr>
          <w:rFonts w:hint="eastAsia" w:ascii="仿宋_GB2312" w:hAnsi="仿宋_GB2312" w:eastAsia="仿宋_GB2312" w:cs="仿宋_GB2312"/>
          <w:sz w:val="32"/>
          <w:szCs w:val="32"/>
          <w:lang w:val="en-US" w:eastAsia="zh-CN"/>
        </w:rPr>
        <w:t>协助普查机构做好社会组织相关信息的普查工作</w:t>
      </w:r>
      <w:r>
        <w:rPr>
          <w:rFonts w:hint="eastAsia" w:ascii="仿宋_GB2312" w:hAnsi="仿宋_GB2312" w:eastAsia="仿宋_GB2312" w:cs="仿宋_GB2312"/>
          <w:color w:val="auto"/>
          <w:sz w:val="32"/>
          <w:szCs w:val="20"/>
          <w:lang w:val="en-US" w:eastAsia="zh-CN"/>
        </w:rPr>
        <w:t>；指导基层民政、人社工作人员配合普查工作，提供相关支持和保障。</w:t>
      </w:r>
    </w:p>
    <w:p w14:paraId="1FEF6D54">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sz w:val="32"/>
          <w:szCs w:val="20"/>
          <w:lang w:val="en-US" w:eastAsia="zh-CN"/>
        </w:rPr>
      </w:pPr>
      <w:r>
        <w:rPr>
          <w:rFonts w:hint="eastAsia" w:ascii="仿宋_GB2312" w:hAnsi="仿宋_GB2312" w:eastAsia="仿宋_GB2312" w:cs="仿宋_GB2312"/>
          <w:color w:val="auto"/>
          <w:sz w:val="32"/>
          <w:szCs w:val="20"/>
          <w:lang w:val="en-US" w:eastAsia="zh-CN"/>
        </w:rPr>
        <w:t>市自然资源局友好分局：负责和协调耕地信息等方面事项；协调市级部门及时准确提供土地利用现状相关资料；协助普查机构做好耕地面积、土地性质等信息的核实工作；协调市级部门利用地理信息技术为普查区域划分和数据采集提供技术支持。</w:t>
      </w:r>
    </w:p>
    <w:p w14:paraId="478A0C74">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sz w:val="32"/>
          <w:szCs w:val="20"/>
          <w:lang w:val="en-US" w:eastAsia="zh-CN"/>
        </w:rPr>
      </w:pPr>
      <w:r>
        <w:rPr>
          <w:rFonts w:hint="eastAsia" w:ascii="仿宋_GB2312" w:hAnsi="仿宋_GB2312" w:eastAsia="仿宋_GB2312" w:cs="仿宋_GB2312"/>
          <w:color w:val="auto"/>
          <w:sz w:val="32"/>
          <w:szCs w:val="20"/>
          <w:lang w:val="en-US" w:eastAsia="zh-CN"/>
        </w:rPr>
        <w:t>区林草局：负责和协调林业生产经营方面相关事项，</w:t>
      </w:r>
      <w:r>
        <w:rPr>
          <w:rFonts w:hint="eastAsia" w:ascii="仿宋_GB2312" w:hAnsi="仿宋_GB2312" w:eastAsia="仿宋_GB2312" w:cs="仿宋_GB2312"/>
          <w:color w:val="auto"/>
          <w:sz w:val="32"/>
          <w:szCs w:val="32"/>
          <w:highlight w:val="none"/>
          <w:lang w:val="en-US" w:eastAsia="zh-CN"/>
        </w:rPr>
        <w:t>开展林业产业发展情况分析，为林业产业政策制定提供依据；</w:t>
      </w:r>
      <w:r>
        <w:rPr>
          <w:rFonts w:hint="eastAsia" w:ascii="仿宋_GB2312" w:hAnsi="仿宋_GB2312" w:eastAsia="仿宋_GB2312" w:cs="仿宋_GB2312"/>
          <w:color w:val="auto"/>
          <w:sz w:val="32"/>
          <w:szCs w:val="32"/>
          <w:highlight w:val="none"/>
        </w:rPr>
        <w:t>负责提供本部门掌握的行政记录，组织协调本系统向同级普查机构提供其掌握的相关资料，</w:t>
      </w:r>
      <w:r>
        <w:rPr>
          <w:rFonts w:hint="eastAsia" w:ascii="仿宋_GB2312" w:hAnsi="仿宋_GB2312" w:eastAsia="仿宋_GB2312" w:cs="仿宋_GB2312"/>
          <w:color w:val="auto"/>
          <w:sz w:val="32"/>
          <w:szCs w:val="32"/>
          <w:highlight w:val="none"/>
          <w:lang w:val="en-US" w:eastAsia="zh-CN"/>
        </w:rPr>
        <w:t>负责组织开展林业资源普查数据与农业普查数据的对接工作；</w:t>
      </w:r>
      <w:r>
        <w:rPr>
          <w:rFonts w:hint="eastAsia" w:ascii="仿宋_GB2312" w:hAnsi="仿宋_GB2312" w:eastAsia="仿宋_GB2312" w:cs="仿宋_GB2312"/>
          <w:color w:val="auto"/>
          <w:sz w:val="32"/>
          <w:szCs w:val="32"/>
          <w:highlight w:val="none"/>
        </w:rPr>
        <w:t>协助开展相关单位名录的核实、比对、查找和反馈</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w:t>
      </w:r>
    </w:p>
    <w:p w14:paraId="0F6CD0F6">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sz w:val="32"/>
          <w:szCs w:val="20"/>
          <w:lang w:val="en-US" w:eastAsia="zh-CN"/>
        </w:rPr>
      </w:pPr>
      <w:r>
        <w:rPr>
          <w:rFonts w:hint="eastAsia" w:ascii="仿宋_GB2312" w:hAnsi="仿宋_GB2312" w:eastAsia="仿宋_GB2312" w:cs="仿宋_GB2312"/>
          <w:color w:val="auto"/>
          <w:sz w:val="32"/>
          <w:szCs w:val="20"/>
          <w:lang w:val="en-US" w:eastAsia="zh-CN"/>
        </w:rPr>
        <w:t>市公安局友好分局、区司法局：及时准确提供掌握的普查有关基础资料、部门行政记录和数据信息。</w:t>
      </w:r>
    </w:p>
    <w:p w14:paraId="0E18FDA4">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sz w:val="32"/>
          <w:szCs w:val="20"/>
          <w:lang w:val="en-US" w:eastAsia="zh-CN"/>
        </w:rPr>
      </w:pPr>
      <w:r>
        <w:rPr>
          <w:rFonts w:hint="eastAsia" w:ascii="仿宋_GB2312" w:hAnsi="仿宋_GB2312" w:eastAsia="仿宋_GB2312" w:cs="仿宋_GB2312"/>
          <w:color w:val="auto"/>
          <w:sz w:val="32"/>
          <w:szCs w:val="20"/>
          <w:lang w:val="en-US" w:eastAsia="zh-CN"/>
        </w:rPr>
        <w:t>市市场监管局友好分局：负责和协调涉及农业经营主体登记注册方面事项。</w:t>
      </w:r>
    </w:p>
    <w:p w14:paraId="549711B5">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sz w:val="32"/>
          <w:szCs w:val="20"/>
          <w:lang w:val="en-US" w:eastAsia="zh-CN"/>
        </w:rPr>
      </w:pPr>
      <w:r>
        <w:rPr>
          <w:rFonts w:hint="eastAsia" w:ascii="仿宋_GB2312" w:hAnsi="仿宋_GB2312" w:eastAsia="仿宋_GB2312" w:cs="仿宋_GB2312"/>
          <w:color w:val="auto"/>
          <w:sz w:val="32"/>
          <w:szCs w:val="20"/>
          <w:lang w:val="en-US" w:eastAsia="zh-CN"/>
        </w:rPr>
        <w:t>友好林业局公司、上甘岭林业局公司：负责和协调森工农业企业方面事项，组织开展森工企业内部农业生产经营情况的普查工作；配合普查机构做好森工企业相关数据的核实和汇总；对森工企业农业发展情况进行分析，提出发展建议和措施；及时准确提供掌握的普查有关基础资料、部门行政记录和数据信息。</w:t>
      </w:r>
    </w:p>
    <w:p w14:paraId="41D3FDCC">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sz w:val="32"/>
          <w:szCs w:val="20"/>
          <w:u w:val="none"/>
          <w:lang w:val="en-US" w:eastAsia="zh-CN"/>
        </w:rPr>
      </w:pPr>
      <w:r>
        <w:rPr>
          <w:rFonts w:hint="eastAsia" w:ascii="Times New Roman" w:hAnsi="Times New Roman" w:eastAsia="仿宋_GB2312" w:cs="Times New Roman"/>
          <w:sz w:val="32"/>
          <w:szCs w:val="20"/>
          <w:u w:val="none"/>
          <w:lang w:val="en-US" w:eastAsia="zh-CN"/>
        </w:rPr>
        <w:t>友好区人武部</w:t>
      </w:r>
      <w:r>
        <w:rPr>
          <w:rFonts w:hint="eastAsia" w:ascii="仿宋_GB2312" w:hAnsi="仿宋_GB2312" w:eastAsia="仿宋_GB2312" w:cs="仿宋_GB2312"/>
          <w:color w:val="auto"/>
          <w:sz w:val="32"/>
          <w:szCs w:val="20"/>
          <w:u w:val="none"/>
          <w:lang w:val="en-US" w:eastAsia="zh-CN"/>
        </w:rPr>
        <w:t>：根据上级部门要求负责本系统涉及农业普查相关事项，确保数据安全和保密。</w:t>
      </w:r>
    </w:p>
    <w:p w14:paraId="27CA92CE">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jc w:val="both"/>
        <w:textAlignment w:val="auto"/>
        <w:rPr>
          <w:rFonts w:hint="default" w:ascii="黑体" w:hAnsi="黑体" w:eastAsia="黑体" w:cs="黑体"/>
          <w:sz w:val="32"/>
          <w:szCs w:val="20"/>
          <w:lang w:val="en-US" w:eastAsia="zh-CN"/>
        </w:rPr>
      </w:pPr>
      <w:r>
        <w:rPr>
          <w:rFonts w:hint="eastAsia" w:ascii="黑体" w:hAnsi="黑体" w:eastAsia="黑体" w:cs="黑体"/>
          <w:sz w:val="32"/>
          <w:szCs w:val="20"/>
          <w:lang w:val="en-US" w:eastAsia="zh-CN"/>
        </w:rPr>
        <w:t>四</w:t>
      </w:r>
      <w:r>
        <w:rPr>
          <w:rFonts w:hint="default" w:ascii="黑体" w:hAnsi="黑体" w:eastAsia="黑体" w:cs="黑体"/>
          <w:sz w:val="32"/>
          <w:szCs w:val="20"/>
          <w:lang w:val="en-US" w:eastAsia="zh-CN"/>
        </w:rPr>
        <w:t>、工作要求</w:t>
      </w:r>
    </w:p>
    <w:p w14:paraId="780DAA18">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jc w:val="both"/>
        <w:textAlignment w:val="auto"/>
        <w:rPr>
          <w:rFonts w:hint="default" w:ascii="Times New Roman" w:hAnsi="Times New Roman" w:eastAsia="仿宋_GB2312" w:cs="Times New Roman"/>
          <w:color w:val="auto"/>
          <w:sz w:val="32"/>
          <w:szCs w:val="20"/>
          <w:lang w:val="en-US" w:eastAsia="zh-CN"/>
        </w:rPr>
      </w:pPr>
      <w:r>
        <w:rPr>
          <w:rFonts w:hint="eastAsia" w:ascii="楷体_GB2312" w:hAnsi="楷体_GB2312" w:eastAsia="楷体_GB2312" w:cs="楷体_GB2312"/>
          <w:color w:val="auto"/>
          <w:sz w:val="32"/>
          <w:szCs w:val="20"/>
          <w:lang w:val="en-US" w:eastAsia="zh-CN"/>
        </w:rPr>
        <w:t>（一）坚持依法普查，确保数据质量。</w:t>
      </w:r>
      <w:r>
        <w:rPr>
          <w:rFonts w:hint="default" w:ascii="Times New Roman" w:hAnsi="Times New Roman" w:eastAsia="仿宋_GB2312" w:cs="Times New Roman"/>
          <w:color w:val="auto"/>
          <w:sz w:val="32"/>
          <w:szCs w:val="20"/>
          <w:lang w:val="en-US" w:eastAsia="zh-CN"/>
        </w:rPr>
        <w:t>各</w:t>
      </w:r>
      <w:r>
        <w:rPr>
          <w:rFonts w:hint="eastAsia" w:ascii="Times New Roman" w:hAnsi="Times New Roman" w:eastAsia="仿宋_GB2312" w:cs="Times New Roman"/>
          <w:color w:val="auto"/>
          <w:sz w:val="32"/>
          <w:szCs w:val="20"/>
          <w:lang w:val="en-US" w:eastAsia="zh-CN"/>
        </w:rPr>
        <w:t>地各</w:t>
      </w:r>
      <w:r>
        <w:rPr>
          <w:rFonts w:hint="default" w:ascii="Times New Roman" w:hAnsi="Times New Roman" w:eastAsia="仿宋_GB2312" w:cs="Times New Roman"/>
          <w:color w:val="auto"/>
          <w:sz w:val="32"/>
          <w:szCs w:val="20"/>
          <w:lang w:val="en-US" w:eastAsia="zh-CN"/>
        </w:rPr>
        <w:t>部门要严格按照《中华人民共和国统计法》《中华人民共和国统计法实施条例》《全国农业普查条例》等法律法规做好普查各项工作。未经批准，任何单位和个人不得对外发布普查数据。对普查工作中的违纪违法等行为，依纪依法予以处理并加大通报曝光力度。</w:t>
      </w:r>
      <w:r>
        <w:rPr>
          <w:rFonts w:hint="eastAsia" w:ascii="Times New Roman" w:hAnsi="Times New Roman" w:eastAsia="仿宋_GB2312" w:cs="Times New Roman"/>
          <w:color w:val="auto"/>
          <w:sz w:val="32"/>
          <w:szCs w:val="20"/>
          <w:lang w:val="en-US" w:eastAsia="zh-CN"/>
        </w:rPr>
        <w:t>要</w:t>
      </w:r>
      <w:r>
        <w:rPr>
          <w:rFonts w:hint="default" w:ascii="Times New Roman" w:hAnsi="Times New Roman" w:eastAsia="仿宋_GB2312" w:cs="Times New Roman"/>
          <w:color w:val="auto"/>
          <w:sz w:val="32"/>
          <w:szCs w:val="20"/>
          <w:lang w:val="en-US" w:eastAsia="zh-CN"/>
        </w:rPr>
        <w:t>始终坚守数据质量第一原则，严格执行普查方案，加强普查指导培训，规范普查工作流程，强化数据质量检查核查，切实防范和惩治统计造假、弄虚作假，确保普查数据真实准确、完整可信。强化普查数据质量追溯和问责，坚决杜绝各种人为干预普查数据的行为。</w:t>
      </w:r>
    </w:p>
    <w:p w14:paraId="46DAEDCA">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jc w:val="both"/>
        <w:textAlignment w:val="auto"/>
        <w:rPr>
          <w:rFonts w:hint="default" w:ascii="Times New Roman" w:hAnsi="Times New Roman" w:eastAsia="仿宋_GB2312" w:cs="Times New Roman"/>
          <w:color w:val="auto"/>
          <w:sz w:val="32"/>
          <w:szCs w:val="20"/>
          <w:lang w:val="en-US" w:eastAsia="zh-CN"/>
        </w:rPr>
      </w:pPr>
      <w:r>
        <w:rPr>
          <w:rFonts w:hint="default" w:ascii="楷体_GB2312" w:hAnsi="楷体_GB2312" w:eastAsia="楷体_GB2312" w:cs="楷体_GB2312"/>
          <w:color w:val="auto"/>
          <w:sz w:val="32"/>
          <w:szCs w:val="20"/>
          <w:lang w:val="en-US" w:eastAsia="zh-CN"/>
        </w:rPr>
        <w:t>（</w:t>
      </w:r>
      <w:r>
        <w:rPr>
          <w:rFonts w:hint="eastAsia" w:ascii="楷体_GB2312" w:hAnsi="楷体_GB2312" w:eastAsia="楷体_GB2312" w:cs="楷体_GB2312"/>
          <w:color w:val="auto"/>
          <w:sz w:val="32"/>
          <w:szCs w:val="20"/>
          <w:lang w:val="en-US" w:eastAsia="zh-CN"/>
        </w:rPr>
        <w:t>二</w:t>
      </w:r>
      <w:r>
        <w:rPr>
          <w:rFonts w:hint="default" w:ascii="楷体_GB2312" w:hAnsi="楷体_GB2312" w:eastAsia="楷体_GB2312" w:cs="楷体_GB2312"/>
          <w:color w:val="auto"/>
          <w:sz w:val="32"/>
          <w:szCs w:val="20"/>
          <w:lang w:val="en-US" w:eastAsia="zh-CN"/>
        </w:rPr>
        <w:t>）加强宣传引导</w:t>
      </w:r>
      <w:r>
        <w:rPr>
          <w:rFonts w:hint="eastAsia" w:ascii="楷体_GB2312" w:hAnsi="楷体_GB2312" w:eastAsia="楷体_GB2312" w:cs="楷体_GB2312"/>
          <w:color w:val="auto"/>
          <w:sz w:val="32"/>
          <w:szCs w:val="20"/>
          <w:lang w:val="en-US" w:eastAsia="zh-CN"/>
        </w:rPr>
        <w:t>，营造良好氛围</w:t>
      </w:r>
      <w:r>
        <w:rPr>
          <w:rFonts w:hint="default" w:ascii="楷体_GB2312" w:hAnsi="楷体_GB2312" w:eastAsia="楷体_GB2312" w:cs="楷体_GB2312"/>
          <w:color w:val="auto"/>
          <w:sz w:val="32"/>
          <w:szCs w:val="20"/>
          <w:lang w:val="en-US" w:eastAsia="zh-CN"/>
        </w:rPr>
        <w:t>。</w:t>
      </w:r>
      <w:r>
        <w:rPr>
          <w:rFonts w:hint="default" w:ascii="Times New Roman" w:hAnsi="Times New Roman" w:eastAsia="仿宋_GB2312" w:cs="Times New Roman"/>
          <w:color w:val="auto"/>
          <w:sz w:val="32"/>
          <w:szCs w:val="20"/>
          <w:lang w:val="en-US" w:eastAsia="zh-CN"/>
        </w:rPr>
        <w:t>认真做好普查宣传的策划和组织，充分发挥各类新闻媒体以及有关部门服务平台等的宣传作用，广泛深入宣传普查的重要意义和要求，为普查工作顺利实施创造良好的社会氛围。</w:t>
      </w:r>
    </w:p>
    <w:p w14:paraId="7FFC94D6">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jc w:val="both"/>
        <w:textAlignment w:val="auto"/>
        <w:rPr>
          <w:rFonts w:hint="eastAsia" w:ascii="Times New Roman" w:hAnsi="Times New Roman" w:eastAsia="仿宋_GB2312" w:cs="Times New Roman"/>
          <w:sz w:val="32"/>
          <w:szCs w:val="20"/>
          <w:lang w:val="en-US" w:eastAsia="zh-CN"/>
        </w:rPr>
      </w:pPr>
      <w:r>
        <w:rPr>
          <w:rFonts w:hint="eastAsia" w:ascii="楷体_GB2312" w:hAnsi="楷体_GB2312" w:eastAsia="楷体_GB2312" w:cs="楷体_GB2312"/>
          <w:color w:val="auto"/>
          <w:sz w:val="32"/>
          <w:szCs w:val="20"/>
          <w:lang w:val="en-US" w:eastAsia="zh-CN"/>
        </w:rPr>
        <w:t>（三）强化保障落实，夯实工作责任。</w:t>
      </w:r>
      <w:r>
        <w:rPr>
          <w:rFonts w:hint="eastAsia" w:ascii="Times New Roman" w:hAnsi="Times New Roman" w:eastAsia="仿宋_GB2312" w:cs="Times New Roman"/>
          <w:color w:val="auto"/>
          <w:sz w:val="32"/>
          <w:szCs w:val="20"/>
          <w:lang w:val="en-US" w:eastAsia="zh-CN"/>
        </w:rPr>
        <w:t>加强各级农普机构和农普队伍的建设，做好组织保障；切实落实各项保障措施，及时做好农业普查经费预算，做到普查经费专款专用，做好物质保障；高度重视普查指导员、普查员的选聘工作，严把“两员”选聘质量关，确保“两员”素质满足农</w:t>
      </w:r>
      <w:bookmarkStart w:id="0" w:name="_GoBack"/>
      <w:bookmarkEnd w:id="0"/>
      <w:r>
        <w:rPr>
          <w:rFonts w:hint="eastAsia" w:ascii="Times New Roman" w:hAnsi="Times New Roman" w:eastAsia="仿宋_GB2312" w:cs="Times New Roman"/>
          <w:color w:val="auto"/>
          <w:sz w:val="32"/>
          <w:szCs w:val="20"/>
          <w:lang w:val="en-US" w:eastAsia="zh-CN"/>
        </w:rPr>
        <w:t>业普查工作要求；加强对“两员”的培训和管理，一经选任，在农业普查任务完成前，无特殊情况</w:t>
      </w:r>
      <w:r>
        <w:rPr>
          <w:rFonts w:hint="eastAsia" w:ascii="Times New Roman" w:hAnsi="Times New Roman" w:eastAsia="仿宋_GB2312" w:cs="Times New Roman"/>
          <w:sz w:val="32"/>
          <w:szCs w:val="20"/>
          <w:lang w:val="en-US" w:eastAsia="zh-CN"/>
        </w:rPr>
        <w:t>不得中途更换，各级普查机构按照时间节点，分阶段适时采取不同形式开展培训，确保农业普查顺利进行。</w:t>
      </w:r>
    </w:p>
    <w:p w14:paraId="6778869E">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jc w:val="both"/>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领导小组</w:t>
      </w:r>
      <w:r>
        <w:rPr>
          <w:rFonts w:hint="default" w:ascii="Times New Roman" w:hAnsi="Times New Roman" w:eastAsia="仿宋_GB2312" w:cs="Times New Roman"/>
          <w:color w:val="auto"/>
          <w:sz w:val="32"/>
          <w:szCs w:val="32"/>
          <w:u w:val="none"/>
          <w:lang w:val="en-US" w:eastAsia="zh-CN"/>
        </w:rPr>
        <w:t>组成人员如有变动，由其职务继任者接替，不再另行发文。</w:t>
      </w:r>
      <w:r>
        <w:rPr>
          <w:rFonts w:hint="eastAsia" w:ascii="Times New Roman" w:hAnsi="Times New Roman" w:eastAsia="仿宋_GB2312" w:cs="Times New Roman"/>
          <w:color w:val="auto"/>
          <w:sz w:val="32"/>
          <w:szCs w:val="32"/>
          <w:u w:val="none"/>
          <w:lang w:val="en-US" w:eastAsia="zh-CN"/>
        </w:rPr>
        <w:t>在完成普查工作后，该领导小组自动解散。</w:t>
      </w:r>
    </w:p>
    <w:p w14:paraId="1B3ADACD">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jc w:val="both"/>
        <w:textAlignment w:val="auto"/>
        <w:rPr>
          <w:rFonts w:hint="eastAsia" w:ascii="Times New Roman" w:hAnsi="Times New Roman" w:eastAsia="仿宋_GB2312" w:cs="Times New Roman"/>
          <w:color w:val="auto"/>
          <w:sz w:val="32"/>
          <w:szCs w:val="32"/>
          <w:u w:val="none"/>
          <w:lang w:val="en-US" w:eastAsia="zh-CN"/>
        </w:rPr>
      </w:pPr>
    </w:p>
    <w:p w14:paraId="436278D7">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jc w:val="both"/>
        <w:textAlignment w:val="auto"/>
        <w:rPr>
          <w:rFonts w:hint="eastAsia" w:ascii="Times New Roman" w:hAnsi="Times New Roman" w:eastAsia="仿宋_GB2312" w:cs="Times New Roman"/>
          <w:color w:val="auto"/>
          <w:sz w:val="32"/>
          <w:szCs w:val="32"/>
          <w:u w:val="none"/>
          <w:lang w:val="en-US" w:eastAsia="zh-CN"/>
        </w:rPr>
      </w:pPr>
    </w:p>
    <w:p w14:paraId="791544E2">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jc w:val="both"/>
        <w:textAlignment w:val="auto"/>
        <w:rPr>
          <w:rFonts w:hint="eastAsia" w:ascii="Times New Roman" w:hAnsi="Times New Roman" w:eastAsia="仿宋_GB2312" w:cs="Times New Roman"/>
          <w:color w:val="auto"/>
          <w:sz w:val="32"/>
          <w:szCs w:val="32"/>
          <w:u w:val="none"/>
          <w:lang w:val="en-US" w:eastAsia="zh-CN"/>
        </w:rPr>
      </w:pPr>
    </w:p>
    <w:p w14:paraId="0D537F5C">
      <w:pPr>
        <w:keepNext w:val="0"/>
        <w:keepLines w:val="0"/>
        <w:pageBreakBefore w:val="0"/>
        <w:widowControl w:val="0"/>
        <w:suppressAutoHyphens/>
        <w:kinsoku/>
        <w:wordWrap/>
        <w:overflowPunct/>
        <w:topLinePunct/>
        <w:autoSpaceDE w:val="0"/>
        <w:autoSpaceDN/>
        <w:bidi w:val="0"/>
        <w:adjustRightInd/>
        <w:snapToGrid/>
        <w:spacing w:line="560" w:lineRule="exact"/>
        <w:ind w:firstLine="632" w:firstLineChars="200"/>
        <w:jc w:val="both"/>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 xml:space="preserve">                       </w:t>
      </w:r>
      <w:r>
        <w:rPr>
          <w:rFonts w:hint="eastAsia" w:ascii="Times New Roman" w:hAnsi="Times New Roman" w:cs="Times New Roman"/>
          <w:color w:val="auto"/>
          <w:sz w:val="32"/>
          <w:szCs w:val="32"/>
          <w:u w:val="none"/>
          <w:lang w:val="en-US" w:eastAsia="zh-CN"/>
        </w:rPr>
        <w:t xml:space="preserve"> </w:t>
      </w:r>
      <w:r>
        <w:rPr>
          <w:rFonts w:hint="eastAsia" w:ascii="Times New Roman" w:hAnsi="Times New Roman" w:eastAsia="仿宋_GB2312" w:cs="Times New Roman"/>
          <w:color w:val="auto"/>
          <w:sz w:val="32"/>
          <w:szCs w:val="32"/>
          <w:u w:val="none"/>
          <w:lang w:val="en-US" w:eastAsia="zh-CN"/>
        </w:rPr>
        <w:t xml:space="preserve">  伊春市友好区人民政府</w:t>
      </w:r>
    </w:p>
    <w:p w14:paraId="35279CE5">
      <w:pPr>
        <w:keepNext w:val="0"/>
        <w:keepLines w:val="0"/>
        <w:pageBreakBefore w:val="0"/>
        <w:widowControl w:val="0"/>
        <w:kinsoku/>
        <w:wordWrap/>
        <w:overflowPunct/>
        <w:topLinePunct w:val="0"/>
        <w:autoSpaceDE w:val="0"/>
        <w:autoSpaceDN/>
        <w:bidi w:val="0"/>
        <w:adjustRightInd/>
        <w:snapToGrid/>
        <w:spacing w:line="560" w:lineRule="exact"/>
        <w:ind w:firstLine="5056" w:firstLineChars="16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color w:val="auto"/>
          <w:sz w:val="32"/>
          <w:szCs w:val="32"/>
          <w:u w:val="none"/>
          <w:lang w:val="en-US" w:eastAsia="zh-CN"/>
        </w:rPr>
        <w:t>2025年10月11日</w:t>
      </w:r>
    </w:p>
    <w:p w14:paraId="4D595D66">
      <w:pPr>
        <w:pStyle w:val="8"/>
        <w:rPr>
          <w:rFonts w:hint="default" w:ascii="仿宋_GB2312" w:hAnsi="仿宋_GB2312" w:eastAsia="仿宋_GB2312" w:cs="仿宋_GB2312"/>
          <w:sz w:val="32"/>
          <w:szCs w:val="32"/>
          <w:lang w:val="en-US" w:eastAsia="zh-CN"/>
        </w:rPr>
      </w:pPr>
      <w:r>
        <w:rPr>
          <w:rFonts w:hint="eastAsia" w:hAnsi="仿宋_GB2312" w:cs="仿宋_GB2312"/>
          <w:sz w:val="32"/>
          <w:szCs w:val="32"/>
          <w:lang w:val="en-US" w:eastAsia="zh-CN"/>
        </w:rPr>
        <w:t xml:space="preserve">    （此件公开发布）</w:t>
      </w:r>
    </w:p>
    <w:p w14:paraId="1CD4BDA6">
      <w:pPr>
        <w:pStyle w:val="8"/>
        <w:rPr>
          <w:rFonts w:hint="default" w:ascii="黑体" w:hAnsi="黑体" w:eastAsia="黑体" w:cs="黑体"/>
          <w:lang w:val="en-US" w:eastAsia="zh-CN"/>
        </w:rPr>
      </w:pPr>
    </w:p>
    <w:p w14:paraId="1E56E081">
      <w:pPr>
        <w:pStyle w:val="8"/>
        <w:rPr>
          <w:rFonts w:hint="default" w:ascii="黑体" w:hAnsi="黑体" w:eastAsia="黑体" w:cs="黑体"/>
          <w:lang w:val="en-US" w:eastAsia="zh-CN"/>
        </w:rPr>
      </w:pPr>
    </w:p>
    <w:p w14:paraId="029220C3">
      <w:pPr>
        <w:pStyle w:val="8"/>
        <w:rPr>
          <w:rFonts w:hint="default" w:ascii="黑体" w:hAnsi="黑体" w:eastAsia="黑体" w:cs="黑体"/>
          <w:lang w:val="en-US" w:eastAsia="zh-CN"/>
        </w:rPr>
      </w:pPr>
    </w:p>
    <w:p w14:paraId="692356AA">
      <w:pPr>
        <w:pStyle w:val="8"/>
        <w:rPr>
          <w:rFonts w:hint="default" w:ascii="黑体" w:hAnsi="黑体" w:eastAsia="黑体" w:cs="黑体"/>
          <w:lang w:val="en-US" w:eastAsia="zh-CN"/>
        </w:rPr>
      </w:pPr>
    </w:p>
    <w:p w14:paraId="4381D47A">
      <w:pPr>
        <w:pStyle w:val="8"/>
        <w:rPr>
          <w:rFonts w:hint="default" w:ascii="黑体" w:hAnsi="黑体" w:eastAsia="黑体" w:cs="黑体"/>
          <w:lang w:val="en-US" w:eastAsia="zh-CN"/>
        </w:rPr>
      </w:pPr>
    </w:p>
    <w:p w14:paraId="3EDF8C02">
      <w:pPr>
        <w:pStyle w:val="8"/>
        <w:rPr>
          <w:rFonts w:hint="default" w:ascii="黑体" w:hAnsi="黑体" w:eastAsia="黑体" w:cs="黑体"/>
          <w:lang w:val="en-US" w:eastAsia="zh-CN"/>
        </w:rPr>
      </w:pPr>
    </w:p>
    <w:p w14:paraId="58A2A619">
      <w:pPr>
        <w:pStyle w:val="8"/>
        <w:rPr>
          <w:rFonts w:hint="default" w:ascii="黑体" w:hAnsi="黑体" w:eastAsia="黑体" w:cs="黑体"/>
          <w:lang w:val="en-US" w:eastAsia="zh-CN"/>
        </w:rPr>
      </w:pPr>
    </w:p>
    <w:p w14:paraId="3AF8DF0B">
      <w:pPr>
        <w:pStyle w:val="8"/>
        <w:rPr>
          <w:rFonts w:hint="default" w:ascii="黑体" w:hAnsi="黑体" w:eastAsia="黑体" w:cs="黑体"/>
          <w:lang w:val="en-US" w:eastAsia="zh-CN"/>
        </w:rPr>
      </w:pPr>
    </w:p>
    <w:p w14:paraId="37FF48C8">
      <w:pPr>
        <w:pStyle w:val="8"/>
        <w:rPr>
          <w:rFonts w:hint="default" w:ascii="黑体" w:hAnsi="黑体" w:eastAsia="黑体" w:cs="黑体"/>
          <w:lang w:val="en-US" w:eastAsia="zh-CN"/>
        </w:rPr>
      </w:pPr>
    </w:p>
    <w:p w14:paraId="17DCFD16">
      <w:pPr>
        <w:pStyle w:val="8"/>
        <w:rPr>
          <w:rFonts w:hint="default" w:ascii="黑体" w:hAnsi="黑体" w:eastAsia="黑体" w:cs="黑体"/>
          <w:lang w:val="en-US" w:eastAsia="zh-CN"/>
        </w:rPr>
      </w:pPr>
    </w:p>
    <w:p w14:paraId="13EB9C4A">
      <w:pPr>
        <w:pStyle w:val="8"/>
        <w:rPr>
          <w:rFonts w:hint="default" w:ascii="黑体" w:hAnsi="黑体" w:eastAsia="黑体" w:cs="黑体"/>
          <w:lang w:val="en-US" w:eastAsia="zh-CN"/>
        </w:rPr>
      </w:pPr>
    </w:p>
    <w:p w14:paraId="58A22AAD">
      <w:pPr>
        <w:pStyle w:val="8"/>
        <w:rPr>
          <w:rFonts w:hint="default" w:ascii="黑体" w:hAnsi="黑体" w:eastAsia="黑体" w:cs="黑体"/>
          <w:lang w:val="en-US" w:eastAsia="zh-CN"/>
        </w:rPr>
      </w:pPr>
    </w:p>
    <w:p w14:paraId="6FF68816">
      <w:pPr>
        <w:pStyle w:val="8"/>
        <w:rPr>
          <w:rFonts w:hint="default" w:ascii="黑体" w:hAnsi="黑体" w:eastAsia="黑体" w:cs="黑体"/>
          <w:lang w:val="en-US" w:eastAsia="zh-CN"/>
        </w:rPr>
      </w:pPr>
    </w:p>
    <w:tbl>
      <w:tblPr>
        <w:tblStyle w:val="15"/>
        <w:tblpPr w:leftFromText="180" w:rightFromText="180" w:vertAnchor="text" w:horzAnchor="page" w:tblpX="1570" w:tblpY="910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72312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tcBorders>
              <w:top w:val="single" w:color="auto" w:sz="12" w:space="0"/>
              <w:left w:val="nil"/>
              <w:bottom w:val="single" w:color="auto" w:sz="12" w:space="0"/>
              <w:right w:val="nil"/>
            </w:tcBorders>
            <w:noWrap w:val="0"/>
            <w:vAlign w:val="top"/>
          </w:tcPr>
          <w:p w14:paraId="62355634">
            <w:pPr>
              <w:keepNext w:val="0"/>
              <w:keepLines w:val="0"/>
              <w:pageBreakBefore w:val="0"/>
              <w:widowControl w:val="0"/>
              <w:kinsoku/>
              <w:wordWrap/>
              <w:overflowPunct w:val="0"/>
              <w:topLinePunct w:val="0"/>
              <w:autoSpaceDE/>
              <w:autoSpaceDN/>
              <w:bidi w:val="0"/>
              <w:adjustRightInd/>
              <w:snapToGrid/>
              <w:spacing w:line="480" w:lineRule="exact"/>
              <w:ind w:firstLine="276" w:firstLineChars="100"/>
              <w:textAlignment w:val="auto"/>
              <w:rPr>
                <w:rFonts w:hint="default" w:hAnsi="仿宋_GB2312" w:eastAsia="仿宋_GB2312" w:cs="仿宋_GB2312"/>
                <w:sz w:val="28"/>
                <w:szCs w:val="28"/>
                <w:lang w:val="en-US" w:eastAsia="zh-CN"/>
              </w:rPr>
            </w:pPr>
            <w:r>
              <w:rPr>
                <w:rFonts w:hint="eastAsia" w:hAnsi="仿宋_GB2312" w:cs="仿宋_GB2312"/>
                <w:sz w:val="28"/>
                <w:szCs w:val="28"/>
                <w:lang w:val="en-US" w:eastAsia="zh-CN"/>
              </w:rPr>
              <w:t>抄送：区委宣传部，友好林业局公司，上甘岭林业局公司。</w:t>
            </w:r>
          </w:p>
        </w:tc>
      </w:tr>
      <w:tr w14:paraId="6921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tcBorders>
              <w:top w:val="single" w:color="auto" w:sz="12" w:space="0"/>
              <w:left w:val="nil"/>
              <w:bottom w:val="single" w:color="auto" w:sz="12" w:space="0"/>
              <w:right w:val="nil"/>
            </w:tcBorders>
            <w:noWrap w:val="0"/>
            <w:vAlign w:val="top"/>
          </w:tcPr>
          <w:p w14:paraId="16D26283">
            <w:pPr>
              <w:keepNext w:val="0"/>
              <w:keepLines w:val="0"/>
              <w:pageBreakBefore w:val="0"/>
              <w:widowControl w:val="0"/>
              <w:kinsoku/>
              <w:wordWrap/>
              <w:overflowPunct w:val="0"/>
              <w:topLinePunct w:val="0"/>
              <w:autoSpaceDE/>
              <w:autoSpaceDN/>
              <w:bidi w:val="0"/>
              <w:adjustRightInd/>
              <w:snapToGrid/>
              <w:spacing w:line="480" w:lineRule="exact"/>
              <w:ind w:firstLine="276"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友好区人民政府办公室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hAnsi="仿宋_GB2312" w:cs="仿宋_GB2312"/>
                <w:sz w:val="28"/>
                <w:szCs w:val="28"/>
                <w:lang w:val="en-US" w:eastAsia="zh-CN"/>
              </w:rPr>
              <w:t>5</w:t>
            </w:r>
            <w:r>
              <w:rPr>
                <w:rFonts w:hint="eastAsia" w:ascii="仿宋_GB2312" w:hAnsi="仿宋_GB2312" w:eastAsia="仿宋_GB2312" w:cs="仿宋_GB2312"/>
                <w:sz w:val="28"/>
                <w:szCs w:val="28"/>
              </w:rPr>
              <w:t>年</w:t>
            </w:r>
            <w:r>
              <w:rPr>
                <w:rFonts w:hint="eastAsia" w:hAnsi="仿宋_GB2312" w:cs="仿宋_GB2312"/>
                <w:sz w:val="28"/>
                <w:szCs w:val="28"/>
                <w:lang w:val="en-US" w:eastAsia="zh-CN"/>
              </w:rPr>
              <w:t>10</w:t>
            </w:r>
            <w:r>
              <w:rPr>
                <w:rFonts w:hint="eastAsia" w:ascii="仿宋_GB2312" w:hAnsi="仿宋_GB2312" w:eastAsia="仿宋_GB2312" w:cs="仿宋_GB2312"/>
                <w:sz w:val="28"/>
                <w:szCs w:val="28"/>
              </w:rPr>
              <w:t>月</w:t>
            </w:r>
            <w:r>
              <w:rPr>
                <w:rFonts w:hint="eastAsia" w:hAnsi="仿宋_GB2312" w:cs="仿宋_GB2312"/>
                <w:sz w:val="28"/>
                <w:szCs w:val="28"/>
                <w:lang w:val="en-US" w:eastAsia="zh-CN"/>
              </w:rPr>
              <w:t>11</w:t>
            </w:r>
            <w:r>
              <w:rPr>
                <w:rFonts w:hint="eastAsia" w:ascii="仿宋_GB2312" w:hAnsi="仿宋_GB2312" w:eastAsia="仿宋_GB2312" w:cs="仿宋_GB2312"/>
                <w:sz w:val="28"/>
                <w:szCs w:val="28"/>
              </w:rPr>
              <w:t xml:space="preserve">日印发 </w:t>
            </w:r>
            <w:r>
              <w:rPr>
                <w:rFonts w:hint="eastAsia" w:hAnsi="仿宋_GB2312" w:cs="仿宋_GB2312"/>
                <w:sz w:val="28"/>
                <w:szCs w:val="28"/>
              </w:rPr>
              <w:t xml:space="preserve"> </w:t>
            </w:r>
          </w:p>
        </w:tc>
      </w:tr>
    </w:tbl>
    <w:p w14:paraId="3CCC477A">
      <w:pPr>
        <w:pStyle w:val="8"/>
        <w:rPr>
          <w:rFonts w:hint="default" w:ascii="黑体" w:hAnsi="黑体" w:eastAsia="黑体" w:cs="黑体"/>
          <w:lang w:val="en-US" w:eastAsia="zh-CN"/>
        </w:rPr>
      </w:pPr>
    </w:p>
    <w:sectPr>
      <w:footerReference r:id="rId3" w:type="default"/>
      <w:type w:val="continuous"/>
      <w:pgSz w:w="11906" w:h="16838"/>
      <w:pgMar w:top="2098" w:right="1474" w:bottom="1984" w:left="1587" w:header="397" w:footer="1474" w:gutter="0"/>
      <w:pgNumType w:fmt="decimal"/>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3147B9-B857-41B2-85C3-3176C010B1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0402E378-7626-42EA-9020-A2ABE82A28AF}"/>
  </w:font>
  <w:font w:name="楷体_GB2312">
    <w:panose1 w:val="02010609030101010101"/>
    <w:charset w:val="86"/>
    <w:family w:val="modern"/>
    <w:pitch w:val="default"/>
    <w:sig w:usb0="00000001" w:usb1="080E0000" w:usb2="00000000" w:usb3="00000000" w:csb0="00040000" w:csb1="00000000"/>
    <w:embedRegular r:id="rId3" w:fontKey="{D2589D93-81FC-4B2E-A764-1436B2B8DEAC}"/>
  </w:font>
  <w:font w:name="方正小标宋简体">
    <w:panose1 w:val="03000509000000000000"/>
    <w:charset w:val="86"/>
    <w:family w:val="script"/>
    <w:pitch w:val="default"/>
    <w:sig w:usb0="00000001" w:usb1="080E0000" w:usb2="00000000" w:usb3="00000000" w:csb0="00040000" w:csb1="00000000"/>
    <w:embedRegular r:id="rId4" w:fontKey="{43621058-C7D6-48EE-A215-0E1019366787}"/>
  </w:font>
  <w:font w:name="方正小标宋_GBK">
    <w:panose1 w:val="02000000000000000000"/>
    <w:charset w:val="86"/>
    <w:family w:val="auto"/>
    <w:pitch w:val="default"/>
    <w:sig w:usb0="A00002BF" w:usb1="38CF7CFA" w:usb2="00082016" w:usb3="00000000" w:csb0="00040001" w:csb1="00000000"/>
    <w:embedRegular r:id="rId5" w:fontKey="{06A2E58B-352F-47E4-833F-CA9414F33126}"/>
  </w:font>
  <w:font w:name="CESI楷体-GB2312">
    <w:altName w:val="宋体"/>
    <w:panose1 w:val="02000500000000000000"/>
    <w:charset w:val="86"/>
    <w:family w:val="auto"/>
    <w:pitch w:val="default"/>
    <w:sig w:usb0="00000000" w:usb1="00000000" w:usb2="00000012" w:usb3="00000000" w:csb0="0004000F" w:csb1="00000000"/>
    <w:embedRegular r:id="rId6" w:fontKey="{7587B0E6-9CB4-4C1A-BA65-DD0984BC63A1}"/>
  </w:font>
  <w:font w:name="方正仿宋_GB2312">
    <w:panose1 w:val="02000000000000000000"/>
    <w:charset w:val="86"/>
    <w:family w:val="auto"/>
    <w:pitch w:val="default"/>
    <w:sig w:usb0="A00002BF" w:usb1="184F6CFA" w:usb2="00000012" w:usb3="00000000" w:csb0="00040001" w:csb1="00000000"/>
    <w:embedRegular r:id="rId7" w:fontKey="{EE00DE09-FE79-41CC-A0F2-B74408044F9D}"/>
  </w:font>
  <w:font w:name="方正黑体_GBK">
    <w:altName w:val="微软雅黑"/>
    <w:panose1 w:val="02010600010101010101"/>
    <w:charset w:val="86"/>
    <w:family w:val="auto"/>
    <w:pitch w:val="default"/>
    <w:sig w:usb0="00000000" w:usb1="00000000" w:usb2="00000000" w:usb3="00000000" w:csb0="00040000" w:csb1="00000000"/>
    <w:embedRegular r:id="rId8" w:fontKey="{D00B47D1-853D-4EAF-9C65-BB6230F00D9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8ADCD">
    <w:pPr>
      <w:pStyle w:val="8"/>
    </w:pPr>
    <w:r>
      <w:rPr>
        <w:sz w:val="18"/>
      </w:rPr>
      <w:pict>
        <v:shape id="_x0000_s3075" o:spid="_x0000_s3075"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6376222">
                <w:pPr>
                  <w:pStyle w:val="8"/>
                  <w:jc w:val="both"/>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58"/>
  <w:drawingGridVerticalSpacing w:val="579"/>
  <w:displayHorizont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MzNjdhZWRiMWU5YmMxZDUzZDc3YmU2NDYwMDUyZTMifQ=="/>
  </w:docVars>
  <w:rsids>
    <w:rsidRoot w:val="00000000"/>
    <w:rsid w:val="083F29FB"/>
    <w:rsid w:val="0D3045D6"/>
    <w:rsid w:val="0DE95849"/>
    <w:rsid w:val="11AB58C2"/>
    <w:rsid w:val="17251408"/>
    <w:rsid w:val="198804EA"/>
    <w:rsid w:val="1A1D0C33"/>
    <w:rsid w:val="1B4D40A2"/>
    <w:rsid w:val="1C2359D5"/>
    <w:rsid w:val="1C364262"/>
    <w:rsid w:val="1E090D5C"/>
    <w:rsid w:val="20A63CCF"/>
    <w:rsid w:val="224C6559"/>
    <w:rsid w:val="23DC7A6C"/>
    <w:rsid w:val="244A4405"/>
    <w:rsid w:val="28C53140"/>
    <w:rsid w:val="2AB03C56"/>
    <w:rsid w:val="2DD9119D"/>
    <w:rsid w:val="2E020414"/>
    <w:rsid w:val="2FE866FA"/>
    <w:rsid w:val="350C6E27"/>
    <w:rsid w:val="35245C97"/>
    <w:rsid w:val="35C536F6"/>
    <w:rsid w:val="368939E2"/>
    <w:rsid w:val="37265173"/>
    <w:rsid w:val="37A114DB"/>
    <w:rsid w:val="38621707"/>
    <w:rsid w:val="38F65D26"/>
    <w:rsid w:val="39322C5A"/>
    <w:rsid w:val="397D3044"/>
    <w:rsid w:val="39FA4BA2"/>
    <w:rsid w:val="3D567526"/>
    <w:rsid w:val="406C796F"/>
    <w:rsid w:val="479418C1"/>
    <w:rsid w:val="485703AA"/>
    <w:rsid w:val="4F9F16E2"/>
    <w:rsid w:val="5309106F"/>
    <w:rsid w:val="537D2167"/>
    <w:rsid w:val="56091558"/>
    <w:rsid w:val="57526B2B"/>
    <w:rsid w:val="590253AD"/>
    <w:rsid w:val="5D4B2453"/>
    <w:rsid w:val="5D6B17C8"/>
    <w:rsid w:val="633D1364"/>
    <w:rsid w:val="669030F5"/>
    <w:rsid w:val="6964252B"/>
    <w:rsid w:val="69DF102E"/>
    <w:rsid w:val="6AC06A26"/>
    <w:rsid w:val="7370619A"/>
    <w:rsid w:val="73B00E80"/>
    <w:rsid w:val="741C77C5"/>
    <w:rsid w:val="75BD3B0A"/>
    <w:rsid w:val="76FB314A"/>
    <w:rsid w:val="78D56B17"/>
    <w:rsid w:val="7F004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Calibri"/>
      <w:kern w:val="2"/>
      <w:sz w:val="32"/>
      <w:szCs w:val="24"/>
      <w:lang w:val="en-US" w:eastAsia="zh-CN" w:bidi="ar-SA"/>
    </w:rPr>
  </w:style>
  <w:style w:type="paragraph" w:styleId="2">
    <w:name w:val="heading 1"/>
    <w:basedOn w:val="1"/>
    <w:next w:val="1"/>
    <w:link w:val="21"/>
    <w:qFormat/>
    <w:uiPriority w:val="0"/>
    <w:pPr>
      <w:keepNext/>
      <w:keepLines/>
      <w:spacing w:beforeAutospacing="0" w:afterAutospacing="0" w:line="480" w:lineRule="auto"/>
      <w:jc w:val="center"/>
      <w:outlineLvl w:val="0"/>
    </w:pPr>
    <w:rPr>
      <w:rFonts w:ascii="Times New Roman" w:hAnsi="Times New Roman" w:eastAsia="宋体" w:cs="Times New Roman"/>
      <w:b/>
      <w:bCs/>
      <w:kern w:val="44"/>
      <w:sz w:val="44"/>
      <w:szCs w:val="44"/>
    </w:rPr>
  </w:style>
  <w:style w:type="paragraph" w:styleId="3">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rPr>
  </w:style>
  <w:style w:type="character" w:default="1" w:styleId="16">
    <w:name w:val="Default Paragraph Font"/>
    <w:qFormat/>
    <w:uiPriority w:val="1"/>
  </w:style>
  <w:style w:type="table" w:default="1" w:styleId="14">
    <w:name w:val="Normal Table"/>
    <w:qFormat/>
    <w:uiPriority w:val="99"/>
    <w:tblPr>
      <w:tblCellMar>
        <w:top w:w="0" w:type="dxa"/>
        <w:left w:w="108" w:type="dxa"/>
        <w:bottom w:w="0" w:type="dxa"/>
        <w:right w:w="108" w:type="dxa"/>
      </w:tblCellMar>
    </w:tblPr>
  </w:style>
  <w:style w:type="paragraph" w:styleId="4">
    <w:name w:val="Body Text"/>
    <w:basedOn w:val="1"/>
    <w:qFormat/>
    <w:uiPriority w:val="0"/>
  </w:style>
  <w:style w:type="paragraph" w:styleId="5">
    <w:name w:val="Plain Text"/>
    <w:basedOn w:val="1"/>
    <w:qFormat/>
    <w:uiPriority w:val="0"/>
    <w:rPr>
      <w:rFonts w:ascii="宋体" w:hAnsi="Courier New" w:cs="Courier New"/>
      <w:szCs w:val="21"/>
    </w:rPr>
  </w:style>
  <w:style w:type="paragraph" w:styleId="6">
    <w:name w:val="Date"/>
    <w:basedOn w:val="1"/>
    <w:next w:val="1"/>
    <w:link w:val="26"/>
    <w:qFormat/>
    <w:uiPriority w:val="99"/>
    <w:pPr>
      <w:ind w:left="100" w:leftChars="2500"/>
    </w:pPr>
  </w:style>
  <w:style w:type="paragraph" w:styleId="7">
    <w:name w:val="Balloon Text"/>
    <w:basedOn w:val="1"/>
    <w:link w:val="28"/>
    <w:qFormat/>
    <w:uiPriority w:val="99"/>
    <w:rPr>
      <w:sz w:val="18"/>
      <w:szCs w:val="18"/>
    </w:rPr>
  </w:style>
  <w:style w:type="paragraph" w:styleId="8">
    <w:name w:val="footer"/>
    <w:basedOn w:val="1"/>
    <w:link w:val="23"/>
    <w:qFormat/>
    <w:uiPriority w:val="0"/>
    <w:pPr>
      <w:tabs>
        <w:tab w:val="center" w:pos="4153"/>
        <w:tab w:val="right" w:pos="8306"/>
      </w:tabs>
      <w:snapToGrid w:val="0"/>
      <w:jc w:val="left"/>
    </w:pPr>
    <w:rPr>
      <w:rFonts w:cs="Times New Roman"/>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10">
    <w:name w:val="Body Text 2"/>
    <w:basedOn w:val="1"/>
    <w:qFormat/>
    <w:uiPriority w:val="0"/>
    <w:pPr>
      <w:spacing w:after="120" w:line="480" w:lineRule="auto"/>
    </w:p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2">
    <w:name w:val="Normal (Web)"/>
    <w:basedOn w:val="1"/>
    <w:qFormat/>
    <w:uiPriority w:val="0"/>
    <w:pPr>
      <w:widowControl/>
      <w:spacing w:before="100" w:beforeAutospacing="1" w:after="100" w:afterAutospacing="1"/>
      <w:jc w:val="left"/>
    </w:pPr>
    <w:rPr>
      <w:rFonts w:ascii="宋体" w:hAnsi="宋体" w:cs="宋体"/>
      <w:kern w:val="0"/>
    </w:rPr>
  </w:style>
  <w:style w:type="paragraph" w:styleId="13">
    <w:name w:val="Title"/>
    <w:basedOn w:val="1"/>
    <w:next w:val="1"/>
    <w:qFormat/>
    <w:uiPriority w:val="10"/>
    <w:pPr>
      <w:jc w:val="center"/>
      <w:outlineLvl w:val="0"/>
    </w:pPr>
    <w:rPr>
      <w:rFonts w:ascii="Arial" w:hAnsi="Arial"/>
      <w:b/>
      <w:bCs/>
      <w:sz w:val="32"/>
      <w:szCs w:val="32"/>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styleId="18">
    <w:name w:val="page number"/>
    <w:basedOn w:val="16"/>
    <w:qFormat/>
    <w:uiPriority w:val="0"/>
  </w:style>
  <w:style w:type="paragraph" w:customStyle="1" w:styleId="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paragraph" w:customStyle="1" w:styleId="20">
    <w:name w:val="列出段落1"/>
    <w:basedOn w:val="1"/>
    <w:qFormat/>
    <w:uiPriority w:val="0"/>
    <w:pPr>
      <w:ind w:firstLine="420" w:firstLineChars="200"/>
    </w:pPr>
    <w:rPr>
      <w:szCs w:val="20"/>
    </w:rPr>
  </w:style>
  <w:style w:type="character" w:customStyle="1" w:styleId="21">
    <w:name w:val="标题 1 Char"/>
    <w:basedOn w:val="16"/>
    <w:link w:val="2"/>
    <w:qFormat/>
    <w:uiPriority w:val="0"/>
    <w:rPr>
      <w:rFonts w:ascii="Times New Roman" w:hAnsi="Times New Roman" w:cs="Times New Roman"/>
      <w:b/>
      <w:bCs/>
      <w:kern w:val="44"/>
      <w:sz w:val="44"/>
      <w:szCs w:val="44"/>
    </w:rPr>
  </w:style>
  <w:style w:type="character" w:customStyle="1" w:styleId="22">
    <w:name w:val="页眉 Char"/>
    <w:basedOn w:val="16"/>
    <w:link w:val="9"/>
    <w:qFormat/>
    <w:uiPriority w:val="0"/>
    <w:rPr>
      <w:rFonts w:ascii="仿宋_GB2312" w:eastAsia="仿宋_GB2312" w:cs="Times New Roman"/>
      <w:kern w:val="2"/>
      <w:sz w:val="18"/>
      <w:szCs w:val="18"/>
    </w:rPr>
  </w:style>
  <w:style w:type="character" w:customStyle="1" w:styleId="23">
    <w:name w:val="页脚 Char"/>
    <w:basedOn w:val="16"/>
    <w:link w:val="8"/>
    <w:qFormat/>
    <w:uiPriority w:val="0"/>
    <w:rPr>
      <w:rFonts w:ascii="仿宋_GB2312" w:eastAsia="仿宋_GB2312" w:cs="Times New Roman"/>
      <w:kern w:val="2"/>
      <w:sz w:val="18"/>
      <w:szCs w:val="18"/>
    </w:rPr>
  </w:style>
  <w:style w:type="paragraph" w:customStyle="1" w:styleId="24">
    <w:name w:val="正文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25">
    <w:name w:val="正文 New"/>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customStyle="1" w:styleId="26">
    <w:name w:val="日期 Char"/>
    <w:basedOn w:val="16"/>
    <w:link w:val="6"/>
    <w:qFormat/>
    <w:uiPriority w:val="99"/>
    <w:rPr>
      <w:rFonts w:ascii="仿宋_GB2312" w:eastAsia="仿宋_GB2312"/>
      <w:kern w:val="2"/>
      <w:sz w:val="24"/>
      <w:szCs w:val="24"/>
    </w:rPr>
  </w:style>
  <w:style w:type="paragraph" w:customStyle="1" w:styleId="27">
    <w:name w:val="正文 New New"/>
    <w:qFormat/>
    <w:uiPriority w:val="0"/>
    <w:pPr>
      <w:widowControl w:val="0"/>
      <w:jc w:val="both"/>
    </w:pPr>
    <w:rPr>
      <w:rFonts w:ascii="Calibri" w:hAnsi="Calibri" w:eastAsia="仿宋_GB2312" w:cs="Calibri"/>
      <w:kern w:val="2"/>
      <w:sz w:val="32"/>
      <w:szCs w:val="24"/>
      <w:lang w:val="en-US" w:eastAsia="zh-CN" w:bidi="ar-SA"/>
    </w:rPr>
  </w:style>
  <w:style w:type="character" w:customStyle="1" w:styleId="28">
    <w:name w:val="批注框文本 Char"/>
    <w:basedOn w:val="16"/>
    <w:link w:val="7"/>
    <w:qFormat/>
    <w:uiPriority w:val="99"/>
    <w:rPr>
      <w:rFonts w:ascii="仿宋_GB2312" w:hAnsi="Calibri" w:eastAsia="仿宋_GB2312" w:cs="Calibri"/>
      <w:kern w:val="2"/>
      <w:sz w:val="18"/>
      <w:szCs w:val="18"/>
    </w:rPr>
  </w:style>
  <w:style w:type="paragraph" w:styleId="29">
    <w:name w:val="List Paragraph"/>
    <w:basedOn w:val="1"/>
    <w:qFormat/>
    <w:uiPriority w:val="99"/>
    <w:pPr>
      <w:ind w:firstLine="420" w:firstLineChars="200"/>
    </w:pPr>
    <w:rPr>
      <w:rFonts w:ascii="Calibri" w:hAnsi="Calibri" w:eastAsia="仿宋_GB2312"/>
      <w:sz w:val="32"/>
    </w:rPr>
  </w:style>
  <w:style w:type="paragraph" w:customStyle="1" w:styleId="30">
    <w:name w:val="p0"/>
    <w:next w:val="1"/>
    <w:qFormat/>
    <w:uiPriority w:val="0"/>
    <w:pPr>
      <w:jc w:val="both"/>
    </w:pPr>
    <w:rPr>
      <w:rFonts w:ascii="Calibri" w:hAnsi="Calibri" w:eastAsia="宋体" w:cs="Times New Roman"/>
      <w:sz w:val="21"/>
      <w:szCs w:val="24"/>
      <w:lang w:val="en-US" w:eastAsia="zh-CN" w:bidi="ar-SA"/>
    </w:rPr>
  </w:style>
  <w:style w:type="character" w:customStyle="1" w:styleId="31">
    <w:name w:val="font51"/>
    <w:basedOn w:val="16"/>
    <w:qFormat/>
    <w:uiPriority w:val="99"/>
    <w:rPr>
      <w:rFonts w:ascii="宋体" w:hAnsi="宋体" w:eastAsia="宋体" w:cs="宋体"/>
      <w:b/>
      <w:bCs/>
      <w:color w:val="FF0000"/>
      <w:sz w:val="20"/>
      <w:szCs w:val="20"/>
      <w:u w:val="none"/>
    </w:rPr>
  </w:style>
  <w:style w:type="character" w:customStyle="1" w:styleId="32">
    <w:name w:val="font41"/>
    <w:basedOn w:val="16"/>
    <w:qFormat/>
    <w:uiPriority w:val="99"/>
    <w:rPr>
      <w:rFonts w:ascii="宋体" w:hAnsi="宋体" w:eastAsia="宋体" w:cs="宋体"/>
      <w:b/>
      <w:bCs/>
      <w:color w:val="000000"/>
      <w:sz w:val="20"/>
      <w:szCs w:val="20"/>
      <w:u w:val="none"/>
    </w:rPr>
  </w:style>
  <w:style w:type="character" w:customStyle="1" w:styleId="33">
    <w:name w:val="font21"/>
    <w:basedOn w:val="16"/>
    <w:qFormat/>
    <w:uiPriority w:val="99"/>
    <w:rPr>
      <w:rFonts w:ascii="黑体" w:hAnsi="宋体" w:eastAsia="黑体" w:cs="黑体"/>
      <w:b/>
      <w:bCs/>
      <w:color w:val="00000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3129</Words>
  <Characters>3157</Characters>
  <Paragraphs>98</Paragraphs>
  <TotalTime>39</TotalTime>
  <ScaleCrop>false</ScaleCrop>
  <LinksUpToDate>false</LinksUpToDate>
  <CharactersWithSpaces>3402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2020-06-04T02:44:00Z</dcterms:created>
  <dc:creator>Administrator</dc:creator>
  <cp:lastModifiedBy>李忠原</cp:lastModifiedBy>
  <cp:lastPrinted>2025-10-15T01:20:41Z</cp:lastPrinted>
  <dcterms:modified xsi:type="dcterms:W3CDTF">2025-10-15T01:21:57Z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357232F4F1F149F4935D1EE51B2CE664</vt:lpwstr>
  </property>
  <property fmtid="{D5CDD505-2E9C-101B-9397-08002B2CF9AE}" pid="4" name="KSOTemplateDocerSaveRecord">
    <vt:lpwstr>eyJoZGlkIjoiMWMzNjdhZWRiMWU5YmMxZDUzZDc3YmU2NDYwMDUyZTMiLCJ1c2VySWQiOiIxNjAwNjIzNDkzIn0=</vt:lpwstr>
  </property>
</Properties>
</file>