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1CF9E">
      <w:pPr>
        <w:ind w:left="0" w:leftChars="0" w:firstLine="0" w:firstLineChars="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2026年9月1日伊春市友好生态环境局拟作出的建设项目环境影响评价</w:t>
      </w:r>
    </w:p>
    <w:p w14:paraId="6109A8A5">
      <w:pPr>
        <w:ind w:left="0" w:leftChars="0" w:firstLine="0" w:firstLineChars="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文件审批意见的公示</w:t>
      </w:r>
    </w:p>
    <w:p w14:paraId="57B84A7A">
      <w:pPr>
        <w:jc w:val="left"/>
        <w:rPr>
          <w:rFonts w:hint="eastAsia" w:asciiTheme="majorEastAsia" w:hAnsiTheme="majorEastAsia" w:eastAsiaTheme="majorEastAsia" w:cstheme="majorEastAsia"/>
          <w:b/>
          <w:bCs/>
          <w:sz w:val="36"/>
          <w:szCs w:val="36"/>
          <w:lang w:val="en-US" w:eastAsia="zh-CN"/>
        </w:rPr>
      </w:pPr>
    </w:p>
    <w:p w14:paraId="16D1E3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bookmarkStart w:id="1" w:name="_GoBack"/>
      <w:r>
        <w:rPr>
          <w:rFonts w:hint="eastAsia" w:ascii="仿宋_GB2312" w:hAnsi="仿宋_GB2312" w:eastAsia="仿宋_GB2312" w:cs="仿宋_GB2312"/>
          <w:sz w:val="32"/>
          <w:szCs w:val="32"/>
          <w:lang w:val="en-US" w:eastAsia="zh-CN"/>
        </w:rPr>
        <w:t>根据建设项目环境影响评价审批程序的有关规定，经审查，我局拟对1个建设项目环境影响评价文件作出审批意见。为保证审批意见的严肃性和公正性，现将拟作出审批意见的环境影响评价文件基本情况予以公示，公示期为2026年9月1日-2026年9月7日（5个工作日）。</w:t>
      </w:r>
    </w:p>
    <w:p w14:paraId="7AAD7D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听证权利告知：依据《中华人民共和国行政许可法》，自公示起五日内、利害关系人可对以下拟作出的建设项目环境影响评价文件批复决定要求听证。</w:t>
      </w:r>
    </w:p>
    <w:p w14:paraId="1DB9B3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联系电话：0458-3298062</w:t>
      </w:r>
    </w:p>
    <w:p w14:paraId="34E43E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通讯地址：黑龙江省伊春市友好区和平路56号伊春市友好生态环境局</w:t>
      </w:r>
    </w:p>
    <w:p w14:paraId="66CFE3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邮编：153031       公示网址：</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"http://www.yhq.gov.cn" </w:instrText>
      </w:r>
      <w:r>
        <w:rPr>
          <w:rFonts w:hint="eastAsia" w:ascii="仿宋_GB2312" w:hAnsi="仿宋_GB2312" w:eastAsia="仿宋_GB2312" w:cs="仿宋_GB2312"/>
          <w:sz w:val="32"/>
          <w:szCs w:val="32"/>
          <w:lang w:val="en-US" w:eastAsia="zh-CN"/>
        </w:rPr>
        <w:fldChar w:fldCharType="separate"/>
      </w:r>
      <w:r>
        <w:rPr>
          <w:rStyle w:val="16"/>
          <w:rFonts w:hint="eastAsia" w:ascii="仿宋_GB2312" w:hAnsi="仿宋_GB2312" w:eastAsia="仿宋_GB2312" w:cs="仿宋_GB2312"/>
          <w:sz w:val="32"/>
          <w:szCs w:val="32"/>
          <w:lang w:val="en-US" w:eastAsia="zh-CN"/>
        </w:rPr>
        <w:t>http://www.yhq.gov.cn</w:t>
      </w:r>
      <w:r>
        <w:rPr>
          <w:rFonts w:hint="eastAsia" w:ascii="仿宋_GB2312" w:hAnsi="仿宋_GB2312" w:eastAsia="仿宋_GB2312" w:cs="仿宋_GB2312"/>
          <w:sz w:val="32"/>
          <w:szCs w:val="32"/>
          <w:lang w:val="en-US" w:eastAsia="zh-CN"/>
        </w:rPr>
        <w:fldChar w:fldCharType="end"/>
      </w:r>
    </w:p>
    <w:p w14:paraId="7E21D764">
      <w:pPr>
        <w:rPr>
          <w:rFonts w:hint="default"/>
          <w:lang w:val="en-US" w:eastAsia="zh-CN"/>
        </w:rPr>
      </w:pPr>
    </w:p>
    <w:p w14:paraId="76ABE425">
      <w:pPr>
        <w:pStyle w:val="12"/>
        <w:rPr>
          <w:rFonts w:hint="default"/>
          <w:lang w:val="en-US" w:eastAsia="zh-CN"/>
        </w:rPr>
      </w:pPr>
    </w:p>
    <w:p w14:paraId="2545D73E">
      <w:pPr>
        <w:pStyle w:val="12"/>
        <w:ind w:left="0" w:leftChars="0" w:firstLine="0" w:firstLineChars="0"/>
        <w:rPr>
          <w:rFonts w:hint="default"/>
          <w:lang w:val="en-US" w:eastAsia="zh-CN"/>
        </w:rPr>
      </w:pPr>
    </w:p>
    <w:p w14:paraId="491628D0">
      <w:pPr>
        <w:rPr>
          <w:rFonts w:hint="default"/>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
        <w:gridCol w:w="416"/>
        <w:gridCol w:w="1017"/>
        <w:gridCol w:w="480"/>
        <w:gridCol w:w="780"/>
        <w:gridCol w:w="1853"/>
        <w:gridCol w:w="6705"/>
        <w:gridCol w:w="675"/>
        <w:gridCol w:w="661"/>
      </w:tblGrid>
      <w:tr w14:paraId="201F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dxa"/>
            <w:vAlign w:val="center"/>
          </w:tcPr>
          <w:p w14:paraId="302B9BBB">
            <w:pPr>
              <w:jc w:val="center"/>
              <w:rPr>
                <w:rFonts w:hint="default"/>
                <w:vertAlign w:val="baseline"/>
                <w:lang w:val="en-US" w:eastAsia="zh-CN"/>
              </w:rPr>
            </w:pPr>
            <w:r>
              <w:rPr>
                <w:rFonts w:hint="eastAsia"/>
                <w:vertAlign w:val="baseline"/>
                <w:lang w:val="en-US" w:eastAsia="zh-CN"/>
              </w:rPr>
              <w:t>序号</w:t>
            </w:r>
          </w:p>
        </w:tc>
        <w:tc>
          <w:tcPr>
            <w:tcW w:w="416" w:type="dxa"/>
            <w:vAlign w:val="center"/>
          </w:tcPr>
          <w:p w14:paraId="4EFE0169">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017" w:type="dxa"/>
            <w:vAlign w:val="center"/>
          </w:tcPr>
          <w:p w14:paraId="26071451">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建设地点</w:t>
            </w:r>
          </w:p>
        </w:tc>
        <w:tc>
          <w:tcPr>
            <w:tcW w:w="480" w:type="dxa"/>
            <w:vAlign w:val="center"/>
          </w:tcPr>
          <w:p w14:paraId="60CDC547">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建设单位</w:t>
            </w:r>
          </w:p>
        </w:tc>
        <w:tc>
          <w:tcPr>
            <w:tcW w:w="780" w:type="dxa"/>
            <w:vAlign w:val="center"/>
          </w:tcPr>
          <w:p w14:paraId="7D147F70">
            <w:p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环境影响评价机构</w:t>
            </w:r>
          </w:p>
        </w:tc>
        <w:tc>
          <w:tcPr>
            <w:tcW w:w="1853" w:type="dxa"/>
            <w:vAlign w:val="center"/>
          </w:tcPr>
          <w:p w14:paraId="3DD1BB2D">
            <w:p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项目概况</w:t>
            </w:r>
          </w:p>
        </w:tc>
        <w:tc>
          <w:tcPr>
            <w:tcW w:w="6705" w:type="dxa"/>
            <w:vAlign w:val="center"/>
          </w:tcPr>
          <w:p w14:paraId="3EFE7EDC">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主要环境影响及预防或者减轻不良环境影响的对策和措施</w:t>
            </w:r>
          </w:p>
        </w:tc>
        <w:tc>
          <w:tcPr>
            <w:tcW w:w="675" w:type="dxa"/>
            <w:vAlign w:val="center"/>
          </w:tcPr>
          <w:p w14:paraId="5A045590">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公众参与情况</w:t>
            </w:r>
          </w:p>
        </w:tc>
        <w:tc>
          <w:tcPr>
            <w:tcW w:w="661" w:type="dxa"/>
            <w:vAlign w:val="center"/>
          </w:tcPr>
          <w:p w14:paraId="2C1C95AC">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拟批复意见</w:t>
            </w:r>
          </w:p>
        </w:tc>
      </w:tr>
      <w:tr w14:paraId="26B1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8" w:hRule="atLeast"/>
        </w:trPr>
        <w:tc>
          <w:tcPr>
            <w:tcW w:w="385" w:type="dxa"/>
            <w:vAlign w:val="center"/>
          </w:tcPr>
          <w:p w14:paraId="5D880938">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vertAlign w:val="baseline"/>
                <w:lang w:val="en-US" w:eastAsia="zh-CN"/>
              </w:rPr>
              <w:t>1</w:t>
            </w:r>
          </w:p>
        </w:tc>
        <w:tc>
          <w:tcPr>
            <w:tcW w:w="416" w:type="dxa"/>
            <w:vAlign w:val="center"/>
          </w:tcPr>
          <w:p w14:paraId="3F8548E0">
            <w:pPr>
              <w:pStyle w:val="3"/>
              <w:bidi w:val="0"/>
              <w:ind w:left="0" w:leftChars="0" w:firstLine="0" w:firstLine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黑龙江省伊春市友好区污水处理厂设备升级改造项目</w:t>
            </w:r>
          </w:p>
        </w:tc>
        <w:tc>
          <w:tcPr>
            <w:tcW w:w="1017" w:type="dxa"/>
            <w:vAlign w:val="center"/>
          </w:tcPr>
          <w:p w14:paraId="7DD07690">
            <w:pPr>
              <w:ind w:left="0" w:leftChars="0" w:firstLine="0" w:firstLineChars="0"/>
              <w:jc w:val="center"/>
              <w:rPr>
                <w:rFonts w:hint="default" w:ascii="宋体" w:hAnsi="宋体" w:eastAsia="宋体" w:cs="宋体"/>
                <w:sz w:val="21"/>
                <w:szCs w:val="21"/>
                <w:vertAlign w:val="baseline"/>
                <w:lang w:val="en-US" w:eastAsia="zh-CN"/>
              </w:rPr>
            </w:pPr>
            <w:r>
              <w:rPr>
                <w:rFonts w:hint="default" w:ascii="Times New Roman" w:hAnsi="Times New Roman" w:eastAsia="宋体" w:cs="Times New Roman"/>
                <w:color w:val="auto"/>
                <w:sz w:val="24"/>
                <w:szCs w:val="24"/>
                <w:highlight w:val="none"/>
                <w:lang w:val="en-US" w:eastAsia="zh-CN"/>
              </w:rPr>
              <w:t>伊春市友好区双子河新兴委爱国村东南方向、和平路以南</w:t>
            </w:r>
          </w:p>
        </w:tc>
        <w:tc>
          <w:tcPr>
            <w:tcW w:w="480" w:type="dxa"/>
            <w:vAlign w:val="center"/>
          </w:tcPr>
          <w:p w14:paraId="56B06363">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伊春市友好区市政环卫服务中心</w:t>
            </w:r>
          </w:p>
        </w:tc>
        <w:tc>
          <w:tcPr>
            <w:tcW w:w="780" w:type="dxa"/>
            <w:vAlign w:val="center"/>
          </w:tcPr>
          <w:p w14:paraId="39BD9D42">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赛弗特（哈尔滨）工程咨询有限公司</w:t>
            </w:r>
          </w:p>
        </w:tc>
        <w:tc>
          <w:tcPr>
            <w:tcW w:w="1853" w:type="dxa"/>
            <w:vAlign w:val="top"/>
          </w:tcPr>
          <w:p w14:paraId="30BD2DCF">
            <w:pPr>
              <w:bidi w:val="0"/>
              <w:rPr>
                <w:rFonts w:hint="default" w:ascii="宋体" w:hAnsi="宋体" w:eastAsia="宋体" w:cs="宋体"/>
                <w:szCs w:val="21"/>
                <w:vertAlign w:val="baseline"/>
                <w:lang w:val="en-US" w:eastAsia="zh-CN"/>
              </w:rPr>
            </w:pPr>
            <w:r>
              <w:rPr>
                <w:rFonts w:hint="default"/>
                <w:lang w:val="en-US" w:eastAsia="zh-CN"/>
              </w:rPr>
              <w:t>本项目为改扩建（技术改造）项目，建设地点位于伊春市友好区双子河新兴委爱国村东南方向、和平路以南，友好区现有污水处理厂厂区内，现有友好区污水处理厂现状处理规模5000m³/d，本次设备升级改造新增污水处理能力2500m³/d，改扩建完成后全厂污水处理总规模达到7500m³/d。主要建设内容：将原有CASS池改造为EBIS生化池，改造污泥处理系统、深度处理系统，更新中控及配套设备；污水处理工艺采用“格栅→旋流沉砂器→集水提升池→EBIS生化池→絮凝+沉淀池→滤布滤池→紫外线消毒”；取消原有燃煤锅炉，采用160kW超低温空气源热泵机组供热；污泥脱水后含水率控制至60%，转运至上甘岭污水处理厂进行无害化处置。项目总投资5009.25万元（本项目与上甘岭镇污水处理厂设备升级改造共用该总投资），环保投资42万元，环保投资占比0.83%。</w:t>
            </w:r>
          </w:p>
        </w:tc>
        <w:tc>
          <w:tcPr>
            <w:tcW w:w="6705" w:type="dxa"/>
          </w:tcPr>
          <w:p w14:paraId="29D35FCB">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bookmarkStart w:id="0" w:name="OLE_LINK1"/>
            <w:r>
              <w:rPr>
                <w:rFonts w:hint="default" w:ascii="宋体" w:hAnsi="宋体" w:eastAsia="宋体" w:cs="宋体"/>
                <w:szCs w:val="21"/>
                <w:vertAlign w:val="baseline"/>
                <w:lang w:val="en-US" w:eastAsia="zh-CN"/>
              </w:rPr>
              <w:t>施工期</w:t>
            </w:r>
          </w:p>
          <w:p w14:paraId="522FD1E8">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1</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废气：落实施工扬尘管控，施工现场设置围挡、洒水抑尘、物料全覆盖遮盖，出入口设置车辆冲洗设施，运输车辆密闭篷布覆盖；4级及以上大风天气停止土方开挖作业；选用低排放非道路移动机械，减少施工废气影响，降低扬尘对周边大气环境的影响。</w:t>
            </w:r>
          </w:p>
          <w:p w14:paraId="50B8A49C">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2</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噪声：选用低噪声施工机械设备，合理布设高噪声设备位置；严格执行《建筑施工场界环境噪声排放标准》（GB12523</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2025），禁止夜间22:00</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次日6:00开展高噪声施工作业，减轻施工噪声影响。</w:t>
            </w:r>
          </w:p>
          <w:p w14:paraId="29B69054">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3</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废水：施工生产废水经沉淀处理后循环回用，不得外排；施工人员生活污水依托厂区现有污水处理系统处理；施工全过程启用临时污水处理设备，保障厂区污水连续稳定处理，杜绝污水溢流。</w:t>
            </w:r>
          </w:p>
          <w:p w14:paraId="527406D3">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4</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固体废物：建筑垃圾分类收集，土石方优先场内回用，多余建筑垃圾交由合规单位清运处置；施工生活垃圾交由属地环卫部门统一处置，避免固废乱堆乱放造成二次污染。</w:t>
            </w:r>
          </w:p>
          <w:p w14:paraId="2221D552">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运营期</w:t>
            </w:r>
          </w:p>
          <w:p w14:paraId="0CDD3C8F">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1、</w:t>
            </w:r>
            <w:r>
              <w:rPr>
                <w:rFonts w:hint="default" w:ascii="宋体" w:hAnsi="宋体" w:eastAsia="宋体" w:cs="宋体"/>
                <w:szCs w:val="21"/>
                <w:vertAlign w:val="baseline"/>
                <w:lang w:val="en-US" w:eastAsia="zh-CN"/>
              </w:rPr>
              <w:t>水环境</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项目改造完成后全厂污水处理规模7500m³/d，尾水执行《城镇污水处理厂污染物排放标准》（GB18918</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2002，含2006、2025年修改单）一级A标准，依托原有排污口排入汤旺河。污泥压滤水、化验室废水、空气源热泵软化再生废水全部汇入本厂污水处理系统处理，严禁直接外排。落实地表水专项评价提出的水污染防治措施，保障EBIS生化池、深度处理、紫外线消毒单元稳定运行；完善COD、氨氮、总氮、总磷在线监控设备并联网；完善事故应急池，非正常工况废水不得直排外环境，防范污水溢流风险。</w:t>
            </w:r>
          </w:p>
          <w:p w14:paraId="13881A42">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2、</w:t>
            </w:r>
            <w:r>
              <w:rPr>
                <w:rFonts w:hint="default" w:ascii="宋体" w:hAnsi="宋体" w:eastAsia="宋体" w:cs="宋体"/>
                <w:szCs w:val="21"/>
                <w:vertAlign w:val="baseline"/>
                <w:lang w:val="en-US" w:eastAsia="zh-CN"/>
              </w:rPr>
              <w:t>大气环境</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预处理格栅间恶臭废气经活性炭吸附装置处理后由15m高排气筒排放；污泥脱水间恶臭废气经低温等离子（离子除臭）装置处理后由15m高排气筒排放，NH₃、H₂S、臭气浓度执行《恶臭污染物排放标准》（GB14554</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93）表2标准。生化池采取单元密闭、厂区绿化、强化运行管理削减无组织恶臭；厂界氨、硫化氢、臭气浓度、甲烷执行《城镇污水处理厂污染物排放标准》（GB18918</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2002，含2006、2025修改单）表6二级标准；建立除臭设施运维台账，定期更换活性炭，废气治理设施与生产同步运行，按计划开展自行监测。</w:t>
            </w:r>
          </w:p>
          <w:p w14:paraId="4369D0E9">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3、</w:t>
            </w:r>
            <w:r>
              <w:rPr>
                <w:rFonts w:hint="default" w:ascii="宋体" w:hAnsi="宋体" w:eastAsia="宋体" w:cs="宋体"/>
                <w:szCs w:val="21"/>
                <w:vertAlign w:val="baseline"/>
                <w:lang w:val="en-US" w:eastAsia="zh-CN"/>
              </w:rPr>
              <w:t>声环境</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优先选用低噪声泵、风机、空压机等设备；风机配套消声器，泵、风机基座设置减振垫，设备管道采用柔性软连接；依托厂房建筑隔声降噪；厂界噪声执行《工业企业厂界环境噪声排放标准》（GB12348</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2008）2类标准；定期检修设备，规避设备故障产生额外噪声污染。</w:t>
            </w:r>
          </w:p>
          <w:p w14:paraId="0BCD2941">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3、</w:t>
            </w:r>
            <w:r>
              <w:rPr>
                <w:rFonts w:hint="default" w:ascii="宋体" w:hAnsi="宋体" w:eastAsia="宋体" w:cs="宋体"/>
                <w:szCs w:val="21"/>
                <w:vertAlign w:val="baseline"/>
                <w:lang w:val="en-US" w:eastAsia="zh-CN"/>
              </w:rPr>
              <w:t>固体废物</w:t>
            </w:r>
            <w:r>
              <w:rPr>
                <w:rFonts w:hint="eastAsia" w:ascii="宋体" w:hAnsi="宋体" w:cs="宋体"/>
                <w:szCs w:val="21"/>
                <w:vertAlign w:val="baseline"/>
                <w:lang w:val="en-US" w:eastAsia="zh-CN"/>
              </w:rPr>
              <w:t>：</w:t>
            </w:r>
          </w:p>
          <w:p w14:paraId="546ABA3A">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①一般固体废物：废包装袋收集后外售综合利用；废活性炭收集后交由环卫部门处置；脱水污泥控制含水率≤60%，48小时内密闭转运至上甘岭污水处理厂实施无害化处置，建立完整污泥转运台账，禁止随意丢弃、堆放。</w:t>
            </w:r>
          </w:p>
          <w:p w14:paraId="638DA69A">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②危险废物：废机油、化验室废药品、试剂空瓶、监测废液、废紫外线灯管，依托厂区现有危废贮存点分区暂存，严格落实《危险废物贮存污染控制标准》（GB18597</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2023），设置识别警示标识；与具备相应资质处置单位签订处置协议，严格执行危险废物转移联单制度，建立危废管理台账，按规定完成年度管理计划备案，全部危险废物规范处置。</w:t>
            </w:r>
          </w:p>
          <w:p w14:paraId="7B08CC40">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4、</w:t>
            </w:r>
            <w:r>
              <w:rPr>
                <w:rFonts w:hint="default" w:ascii="宋体" w:hAnsi="宋体" w:eastAsia="宋体" w:cs="宋体"/>
                <w:szCs w:val="21"/>
                <w:vertAlign w:val="baseline"/>
                <w:lang w:val="en-US" w:eastAsia="zh-CN"/>
              </w:rPr>
              <w:t>地下水、土壤</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落实分区防渗：鼓风机房、变配电室等简单防渗区做好地面硬化；综合办公楼、粗格栅提升泵池、生化池等一般防渗区，防渗性能≤1×10⁻⁷cm/s；危废贮存点、污泥储池等重点防渗区采用防渗水泥+2mmHDPE膜，渗透系数≤10⁻¹⁰cm/s；污水收集管网同步落实防渗措施；定期巡检池体、管网，防范跑冒滴漏，防控土壤、地下水污染。</w:t>
            </w:r>
          </w:p>
          <w:p w14:paraId="519EE1B0">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5、</w:t>
            </w:r>
            <w:r>
              <w:rPr>
                <w:rFonts w:hint="default" w:ascii="宋体" w:hAnsi="宋体" w:eastAsia="宋体" w:cs="宋体"/>
                <w:szCs w:val="21"/>
                <w:vertAlign w:val="baseline"/>
                <w:lang w:val="en-US" w:eastAsia="zh-CN"/>
              </w:rPr>
              <w:t>环境风险与环境管理</w:t>
            </w:r>
            <w:r>
              <w:rPr>
                <w:rFonts w:hint="eastAsia" w:ascii="宋体" w:hAnsi="宋体" w:cs="宋体"/>
                <w:szCs w:val="21"/>
                <w:vertAlign w:val="baseline"/>
                <w:lang w:val="en-US" w:eastAsia="zh-CN"/>
              </w:rPr>
              <w:t>：</w:t>
            </w:r>
            <w:r>
              <w:rPr>
                <w:rFonts w:hint="default" w:ascii="宋体" w:hAnsi="宋体" w:eastAsia="宋体" w:cs="宋体"/>
                <w:szCs w:val="21"/>
                <w:vertAlign w:val="baseline"/>
                <w:lang w:val="en-US" w:eastAsia="zh-CN"/>
              </w:rPr>
              <w:t>修订并报备突发环境事件应急预案，配齐应急物资，定期组织应急演练。项目投运前完成排污许可证变更；严格落实报告表自行监测方案，保存完整监测档案；落实环保“三同时”，竣工后组织自主环保验收，验收合格后方可正式运行。</w:t>
            </w:r>
            <w:bookmarkEnd w:id="0"/>
          </w:p>
        </w:tc>
        <w:tc>
          <w:tcPr>
            <w:tcW w:w="675" w:type="dxa"/>
            <w:vAlign w:val="center"/>
          </w:tcPr>
          <w:p w14:paraId="182A16AA">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是</w:t>
            </w:r>
          </w:p>
        </w:tc>
        <w:tc>
          <w:tcPr>
            <w:tcW w:w="661" w:type="dxa"/>
            <w:vAlign w:val="center"/>
          </w:tcPr>
          <w:p w14:paraId="6F895E92">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同意</w:t>
            </w:r>
          </w:p>
        </w:tc>
      </w:tr>
    </w:tbl>
    <w:p w14:paraId="19C22791">
      <w:pPr>
        <w:ind w:left="0" w:leftChars="0" w:firstLine="0" w:firstLineChars="0"/>
        <w:rPr>
          <w:rFonts w:hint="default"/>
          <w:lang w:val="en-US" w:eastAsia="zh-CN"/>
        </w:rPr>
      </w:pPr>
    </w:p>
    <w:sectPr>
      <w:footerReference r:id="rId5" w:type="default"/>
      <w:pgSz w:w="16838" w:h="11906" w:orient="landscape"/>
      <w:pgMar w:top="1587" w:right="2098" w:bottom="1474" w:left="1984"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国标宋体-超大字符集扩">
    <w:panose1 w:val="000005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155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938CA">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5938CA">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4FF83"/>
    <w:multiLevelType w:val="singleLevel"/>
    <w:tmpl w:val="2004FF83"/>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ZGIxMTFmNTY4MDcyMGYxNjRkNTUwY2E2NjhhMGMifQ=="/>
    <w:docVar w:name="KSO_WPS_MARK_KEY" w:val="d4a4b53d-b30b-49ca-8b6d-de6cc8f3a68d"/>
  </w:docVars>
  <w:rsids>
    <w:rsidRoot w:val="00000000"/>
    <w:rsid w:val="006D1220"/>
    <w:rsid w:val="018F3084"/>
    <w:rsid w:val="04FD60A3"/>
    <w:rsid w:val="05BE1FE7"/>
    <w:rsid w:val="086D06FA"/>
    <w:rsid w:val="0BFA1AA0"/>
    <w:rsid w:val="0DA744F4"/>
    <w:rsid w:val="0F006B8D"/>
    <w:rsid w:val="0F0C78AF"/>
    <w:rsid w:val="10A45098"/>
    <w:rsid w:val="1B100B67"/>
    <w:rsid w:val="1DE41D5F"/>
    <w:rsid w:val="247C08CB"/>
    <w:rsid w:val="26DE2F46"/>
    <w:rsid w:val="2E756A3C"/>
    <w:rsid w:val="351C350A"/>
    <w:rsid w:val="357254E8"/>
    <w:rsid w:val="357E191C"/>
    <w:rsid w:val="39473971"/>
    <w:rsid w:val="3DD374F3"/>
    <w:rsid w:val="492A000E"/>
    <w:rsid w:val="4B5F4D8A"/>
    <w:rsid w:val="4B9D2C94"/>
    <w:rsid w:val="51BB7279"/>
    <w:rsid w:val="532742D1"/>
    <w:rsid w:val="649F73B1"/>
    <w:rsid w:val="69AD4598"/>
    <w:rsid w:val="73B76E25"/>
    <w:rsid w:val="75742FE6"/>
    <w:rsid w:val="75C227F2"/>
    <w:rsid w:val="764630EB"/>
    <w:rsid w:val="794B3AF0"/>
    <w:rsid w:val="F17F8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ind w:firstLine="0" w:firstLineChars="0"/>
      <w:jc w:val="both"/>
    </w:pPr>
    <w:rPr>
      <w:rFonts w:eastAsia="宋体" w:asciiTheme="minorAscii" w:hAnsiTheme="minorAscii" w:cstheme="minorBidi"/>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500" w:lineRule="exact"/>
      <w:ind w:firstLine="570"/>
    </w:pPr>
    <w:rPr>
      <w:sz w:val="28"/>
      <w:szCs w:val="28"/>
    </w:rPr>
  </w:style>
  <w:style w:type="paragraph" w:styleId="3">
    <w:name w:val="Body Text"/>
    <w:basedOn w:val="1"/>
    <w:next w:val="4"/>
    <w:qFormat/>
    <w:uiPriority w:val="0"/>
    <w:pPr>
      <w:widowControl/>
      <w:snapToGrid w:val="0"/>
      <w:spacing w:before="60" w:after="160" w:line="259" w:lineRule="auto"/>
      <w:ind w:right="113"/>
    </w:pPr>
    <w:rPr>
      <w:kern w:val="0"/>
      <w:sz w:val="18"/>
      <w:szCs w:val="20"/>
    </w:rPr>
  </w:style>
  <w:style w:type="paragraph" w:customStyle="1" w:styleId="4">
    <w:name w:val="Normal (Web)1"/>
    <w:basedOn w:val="1"/>
    <w:next w:val="5"/>
    <w:qFormat/>
    <w:uiPriority w:val="0"/>
    <w:pPr>
      <w:widowControl/>
      <w:jc w:val="left"/>
    </w:pPr>
    <w:rPr>
      <w:rFonts w:ascii="宋体" w:cs="Times New Roman"/>
      <w:kern w:val="0"/>
      <w:sz w:val="24"/>
      <w:szCs w:val="21"/>
    </w:rPr>
  </w:style>
  <w:style w:type="paragraph" w:customStyle="1" w:styleId="5">
    <w:name w:val="Date1"/>
    <w:basedOn w:val="1"/>
    <w:next w:val="1"/>
    <w:qFormat/>
    <w:uiPriority w:val="0"/>
    <w:pPr>
      <w:ind w:left="2500" w:leftChars="2500"/>
    </w:pPr>
  </w:style>
  <w:style w:type="paragraph" w:styleId="6">
    <w:name w:val="Body Text Indent"/>
    <w:basedOn w:val="1"/>
    <w:next w:val="1"/>
    <w:qFormat/>
    <w:uiPriority w:val="0"/>
    <w:pPr>
      <w:spacing w:after="120"/>
      <w:ind w:left="420" w:leftChars="200"/>
    </w:pPr>
    <w:rPr>
      <w:kern w:val="0"/>
      <w:sz w:val="24"/>
      <w:szCs w:val="20"/>
    </w:rPr>
  </w:style>
  <w:style w:type="paragraph" w:styleId="7">
    <w:name w:val="Plain Text"/>
    <w:basedOn w:val="1"/>
    <w:next w:val="1"/>
    <w:qFormat/>
    <w:uiPriority w:val="0"/>
    <w:rPr>
      <w:rFonts w:hint="eastAsia" w:ascii="宋体" w:hAnsi="Courier New"/>
      <w:kern w:val="0"/>
      <w:sz w:val="20"/>
      <w:szCs w:val="21"/>
    </w:rPr>
  </w:style>
  <w:style w:type="paragraph" w:styleId="8">
    <w:name w:val="List Bullet 5"/>
    <w:basedOn w:val="1"/>
    <w:qFormat/>
    <w:uiPriority w:val="0"/>
    <w:pPr>
      <w:numPr>
        <w:ilvl w:val="0"/>
        <w:numId w:val="1"/>
      </w:numPr>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3"/>
    <w:next w:val="1"/>
    <w:qFormat/>
    <w:uiPriority w:val="0"/>
    <w:pPr>
      <w:ind w:firstLine="420" w:firstLineChars="100"/>
    </w:pPr>
    <w:rPr>
      <w:rFonts w:ascii="Times New Roman" w:hAnsi="Times New Roman"/>
      <w:szCs w:val="24"/>
    </w:rPr>
  </w:style>
  <w:style w:type="paragraph" w:styleId="12">
    <w:name w:val="Body Text First Indent 2"/>
    <w:basedOn w:val="6"/>
    <w:next w:val="11"/>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character" w:styleId="17">
    <w:name w:val="annotation reference"/>
    <w:basedOn w:val="15"/>
    <w:qFormat/>
    <w:uiPriority w:val="0"/>
    <w:rPr>
      <w:sz w:val="21"/>
      <w:szCs w:val="21"/>
    </w:rPr>
  </w:style>
  <w:style w:type="paragraph" w:customStyle="1" w:styleId="18">
    <w:name w:val="Default"/>
    <w:basedOn w:val="19"/>
    <w:next w:val="7"/>
    <w:unhideWhenUsed/>
    <w:qFormat/>
    <w:uiPriority w:val="99"/>
    <w:pPr>
      <w:widowControl w:val="0"/>
      <w:autoSpaceDE w:val="0"/>
      <w:autoSpaceDN w:val="0"/>
      <w:adjustRightInd w:val="0"/>
    </w:pPr>
    <w:rPr>
      <w:rFonts w:hint="eastAsia" w:ascii="Times New Roman" w:hAnsi="Times New Roman" w:eastAsia="Times New Roman" w:cs="Times New Roman"/>
      <w:color w:val="000000"/>
      <w:sz w:val="24"/>
      <w:szCs w:val="22"/>
      <w:lang w:val="en-US" w:eastAsia="zh-CN" w:bidi="ar-SA"/>
    </w:rPr>
  </w:style>
  <w:style w:type="paragraph" w:customStyle="1" w:styleId="19">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20">
    <w:name w:val="List Paragraph"/>
    <w:basedOn w:val="1"/>
    <w:qFormat/>
    <w:uiPriority w:val="34"/>
    <w:pPr>
      <w:ind w:firstLine="420" w:firstLineChars="200"/>
    </w:pPr>
  </w:style>
  <w:style w:type="paragraph" w:customStyle="1" w:styleId="21">
    <w:name w:val="11111"/>
    <w:basedOn w:val="1"/>
    <w:next w:val="1"/>
    <w:qFormat/>
    <w:uiPriority w:val="0"/>
    <w:pPr>
      <w:spacing w:line="360" w:lineRule="auto"/>
      <w:ind w:firstLine="200" w:firstLineChars="200"/>
    </w:pPr>
    <w:rPr>
      <w:rFonts w:hAnsi="宋体" w:cs="宋体"/>
    </w:rPr>
  </w:style>
  <w:style w:type="paragraph" w:customStyle="1" w:styleId="22">
    <w:name w:val="首行缩进表格正文"/>
    <w:basedOn w:val="1"/>
    <w:qFormat/>
    <w:uiPriority w:val="0"/>
    <w:pPr>
      <w:spacing w:line="360" w:lineRule="auto"/>
      <w:ind w:firstLine="720" w:firstLineChars="200"/>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2179</Words>
  <Characters>2394</Characters>
  <Lines>0</Lines>
  <Paragraphs>0</Paragraphs>
  <TotalTime>27</TotalTime>
  <ScaleCrop>false</ScaleCrop>
  <LinksUpToDate>false</LinksUpToDate>
  <CharactersWithSpaces>2401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2024-09-05T08:50:00Z</dcterms:created>
  <dc:creator>Administrator</dc:creator>
  <cp:lastModifiedBy>user</cp:lastModifiedBy>
  <cp:lastPrinted>2025-09-22T10:15:00Z</cp:lastPrinted>
  <dcterms:modified xsi:type="dcterms:W3CDTF">2026-09-01T14:25:32Z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DCFBB95BCDF0E146DC6F966AB2213B28_43</vt:lpwstr>
  </property>
</Properties>
</file>