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2026年7月27日伊春市友好生态环境局拟作出的建设项目环境影响评价</w:t>
      </w:r>
    </w:p>
    <w:p>
      <w:pPr>
        <w:ind w:left="0" w:leftChars="0" w:firstLine="0" w:firstLineChars="0"/>
        <w:jc w:val="center"/>
        <w:rPr>
          <w:rFonts w:hint="eastAsia" w:asciiTheme="majorEastAsia" w:hAnsiTheme="majorEastAsia" w:eastAsiaTheme="majorEastAsia" w:cstheme="majorEastAsia"/>
          <w:b/>
          <w:bCs/>
          <w:sz w:val="36"/>
          <w:szCs w:val="36"/>
          <w:lang w:val="en-US" w:eastAsia="zh-CN"/>
        </w:rPr>
      </w:pPr>
      <w:r>
        <w:rPr>
          <w:rFonts w:hint="eastAsia" w:asciiTheme="majorEastAsia" w:hAnsiTheme="majorEastAsia" w:eastAsiaTheme="majorEastAsia" w:cstheme="majorEastAsia"/>
          <w:b/>
          <w:bCs/>
          <w:sz w:val="36"/>
          <w:szCs w:val="36"/>
          <w:lang w:val="en-US" w:eastAsia="zh-CN"/>
        </w:rPr>
        <w:t>文件审批意见的公示</w:t>
      </w:r>
    </w:p>
    <w:p>
      <w:pPr>
        <w:jc w:val="left"/>
        <w:rPr>
          <w:rFonts w:hint="eastAsia" w:asciiTheme="majorEastAsia" w:hAnsiTheme="majorEastAsia" w:eastAsiaTheme="majorEastAsia" w:cstheme="majorEastAsia"/>
          <w:b/>
          <w:bCs/>
          <w:sz w:val="36"/>
          <w:szCs w:val="36"/>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建设项目环境影响评价审批程序的有关规定，经审查，我局拟对1个建设项目环境影响评价文件作出审批意见。为保证审批意见的严肃性和公正性，现将拟作出审批意见的环境影响评价文件基本情况予以公示，公示期为2026年7月27日-2026年7月31日（5个工作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听证权利告知：依据《中华人民共和国行政许可法》，自公示起五日内、利害关系人可对以下拟作出的建设项目环境影响评价文件批复决定要求听证。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联系电话：0458-3298062</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通讯地址：黑龙江省伊春市友好区和平路56号伊春市友好生态环境局</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邮编：153031       公示网址：</w:t>
      </w:r>
      <w:r>
        <w:rPr>
          <w:rFonts w:hint="eastAsia" w:ascii="仿宋_GB2312" w:hAnsi="仿宋_GB2312" w:eastAsia="仿宋_GB2312" w:cs="仿宋_GB2312"/>
          <w:sz w:val="32"/>
          <w:szCs w:val="32"/>
          <w:lang w:val="en-US" w:eastAsia="zh-CN"/>
        </w:rPr>
        <w:fldChar w:fldCharType="begin"/>
      </w:r>
      <w:r>
        <w:rPr>
          <w:rFonts w:hint="eastAsia" w:ascii="仿宋_GB2312" w:hAnsi="仿宋_GB2312" w:eastAsia="仿宋_GB2312" w:cs="仿宋_GB2312"/>
          <w:sz w:val="32"/>
          <w:szCs w:val="32"/>
          <w:lang w:val="en-US" w:eastAsia="zh-CN"/>
        </w:rPr>
        <w:instrText xml:space="preserve"> HYPERLINK "http://www.yhq.gov.cn" </w:instrText>
      </w:r>
      <w:r>
        <w:rPr>
          <w:rFonts w:hint="eastAsia" w:ascii="仿宋_GB2312" w:hAnsi="仿宋_GB2312" w:eastAsia="仿宋_GB2312" w:cs="仿宋_GB2312"/>
          <w:sz w:val="32"/>
          <w:szCs w:val="32"/>
          <w:lang w:val="en-US" w:eastAsia="zh-CN"/>
        </w:rPr>
        <w:fldChar w:fldCharType="separate"/>
      </w:r>
      <w:r>
        <w:rPr>
          <w:rStyle w:val="16"/>
          <w:rFonts w:hint="eastAsia" w:ascii="仿宋_GB2312" w:hAnsi="仿宋_GB2312" w:eastAsia="仿宋_GB2312" w:cs="仿宋_GB2312"/>
          <w:sz w:val="32"/>
          <w:szCs w:val="32"/>
          <w:lang w:val="en-US" w:eastAsia="zh-CN"/>
        </w:rPr>
        <w:t>http://www.yhq.gov.cn</w:t>
      </w:r>
      <w:r>
        <w:rPr>
          <w:rFonts w:hint="eastAsia" w:ascii="仿宋_GB2312" w:hAnsi="仿宋_GB2312" w:eastAsia="仿宋_GB2312" w:cs="仿宋_GB2312"/>
          <w:sz w:val="32"/>
          <w:szCs w:val="32"/>
          <w:lang w:val="en-US" w:eastAsia="zh-CN"/>
        </w:rPr>
        <w:fldChar w:fldCharType="end"/>
      </w:r>
    </w:p>
    <w:p>
      <w:pPr>
        <w:rPr>
          <w:rFonts w:hint="default"/>
          <w:lang w:val="en-US" w:eastAsia="zh-CN"/>
        </w:rPr>
      </w:pPr>
    </w:p>
    <w:p>
      <w:pPr>
        <w:pStyle w:val="12"/>
        <w:rPr>
          <w:rFonts w:hint="default"/>
          <w:lang w:val="en-US" w:eastAsia="zh-CN"/>
        </w:rPr>
      </w:pPr>
    </w:p>
    <w:p>
      <w:pPr>
        <w:pStyle w:val="12"/>
        <w:ind w:left="0" w:leftChars="0" w:firstLine="0" w:firstLineChars="0"/>
        <w:rPr>
          <w:rFonts w:hint="default"/>
          <w:lang w:val="en-US" w:eastAsia="zh-CN"/>
        </w:rPr>
      </w:pPr>
    </w:p>
    <w:p>
      <w:pPr>
        <w:rPr>
          <w:rFonts w:hint="default"/>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5"/>
        <w:gridCol w:w="416"/>
        <w:gridCol w:w="1017"/>
        <w:gridCol w:w="480"/>
        <w:gridCol w:w="780"/>
        <w:gridCol w:w="1853"/>
        <w:gridCol w:w="6705"/>
        <w:gridCol w:w="675"/>
        <w:gridCol w:w="6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dxa"/>
            <w:vAlign w:val="center"/>
          </w:tcPr>
          <w:p>
            <w:pPr>
              <w:jc w:val="center"/>
              <w:rPr>
                <w:rFonts w:hint="default"/>
                <w:vertAlign w:val="baseline"/>
                <w:lang w:val="en-US" w:eastAsia="zh-CN"/>
              </w:rPr>
            </w:pPr>
            <w:r>
              <w:rPr>
                <w:rFonts w:hint="eastAsia"/>
                <w:vertAlign w:val="baseline"/>
                <w:lang w:val="en-US" w:eastAsia="zh-CN"/>
              </w:rPr>
              <w:t>序号</w:t>
            </w:r>
          </w:p>
        </w:tc>
        <w:tc>
          <w:tcPr>
            <w:tcW w:w="416"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项目名称</w:t>
            </w:r>
          </w:p>
        </w:tc>
        <w:tc>
          <w:tcPr>
            <w:tcW w:w="1017"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建设地点</w:t>
            </w:r>
          </w:p>
        </w:tc>
        <w:tc>
          <w:tcPr>
            <w:tcW w:w="480"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建设单位</w:t>
            </w:r>
          </w:p>
        </w:tc>
        <w:tc>
          <w:tcPr>
            <w:tcW w:w="780" w:type="dxa"/>
            <w:vAlign w:val="center"/>
          </w:tcPr>
          <w:p>
            <w:p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环境影响评价机构</w:t>
            </w:r>
          </w:p>
        </w:tc>
        <w:tc>
          <w:tcPr>
            <w:tcW w:w="1853" w:type="dxa"/>
            <w:vAlign w:val="center"/>
          </w:tcPr>
          <w:p>
            <w:pPr>
              <w:ind w:left="0" w:leftChars="0" w:firstLine="0" w:firstLineChars="0"/>
              <w:jc w:val="center"/>
              <w:rPr>
                <w:rFonts w:hint="eastAsia" w:ascii="宋体" w:hAnsi="宋体" w:eastAsia="宋体" w:cs="宋体"/>
                <w:kern w:val="2"/>
                <w:sz w:val="21"/>
                <w:szCs w:val="21"/>
                <w:vertAlign w:val="baseline"/>
                <w:lang w:val="en-US" w:eastAsia="zh-CN" w:bidi="ar-SA"/>
              </w:rPr>
            </w:pPr>
            <w:r>
              <w:rPr>
                <w:rFonts w:hint="eastAsia" w:ascii="宋体" w:hAnsi="宋体" w:eastAsia="宋体" w:cs="宋体"/>
                <w:sz w:val="21"/>
                <w:szCs w:val="21"/>
                <w:vertAlign w:val="baseline"/>
                <w:lang w:val="en-US" w:eastAsia="zh-CN"/>
              </w:rPr>
              <w:t>项目概况</w:t>
            </w:r>
          </w:p>
        </w:tc>
        <w:tc>
          <w:tcPr>
            <w:tcW w:w="6705"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主要环境影响及预防或者减轻不良环境影响的对策和措施</w:t>
            </w:r>
          </w:p>
        </w:tc>
        <w:tc>
          <w:tcPr>
            <w:tcW w:w="675"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公众参与情况</w:t>
            </w:r>
          </w:p>
        </w:tc>
        <w:tc>
          <w:tcPr>
            <w:tcW w:w="661"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拟批复意见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8" w:hRule="atLeast"/>
        </w:trPr>
        <w:tc>
          <w:tcPr>
            <w:tcW w:w="385" w:type="dxa"/>
            <w:vAlign w:val="center"/>
          </w:tcPr>
          <w:p>
            <w:pPr>
              <w:bidi w:val="0"/>
              <w:jc w:val="center"/>
              <w:rPr>
                <w:rFonts w:hint="eastAsia" w:ascii="宋体" w:hAnsi="宋体" w:eastAsia="宋体" w:cs="宋体"/>
                <w:kern w:val="2"/>
                <w:sz w:val="21"/>
                <w:szCs w:val="21"/>
                <w:lang w:val="en-US" w:eastAsia="zh-CN" w:bidi="ar-SA"/>
              </w:rPr>
            </w:pPr>
            <w:r>
              <w:rPr>
                <w:rFonts w:hint="eastAsia" w:ascii="宋体" w:hAnsi="宋体" w:eastAsia="宋体" w:cs="宋体"/>
                <w:sz w:val="21"/>
                <w:szCs w:val="21"/>
                <w:vertAlign w:val="baseline"/>
                <w:lang w:val="en-US" w:eastAsia="zh-CN"/>
              </w:rPr>
              <w:t>1</w:t>
            </w:r>
          </w:p>
        </w:tc>
        <w:tc>
          <w:tcPr>
            <w:tcW w:w="416" w:type="dxa"/>
            <w:vAlign w:val="center"/>
          </w:tcPr>
          <w:p>
            <w:pPr>
              <w:pStyle w:val="3"/>
              <w:bidi w:val="0"/>
              <w:ind w:left="0" w:leftChars="0" w:firstLine="0" w:firstLine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伊春市友好区双子河左堤水毁修复工程</w:t>
            </w:r>
          </w:p>
        </w:tc>
        <w:tc>
          <w:tcPr>
            <w:tcW w:w="1017" w:type="dxa"/>
            <w:vAlign w:val="center"/>
          </w:tcPr>
          <w:p>
            <w:pPr>
              <w:ind w:left="0" w:leftChars="0" w:firstLine="0" w:firstLineChars="0"/>
              <w:jc w:val="center"/>
              <w:rPr>
                <w:rFonts w:hint="default" w:ascii="宋体" w:hAnsi="宋体" w:eastAsia="宋体" w:cs="宋体"/>
                <w:sz w:val="21"/>
                <w:szCs w:val="21"/>
                <w:vertAlign w:val="baseline"/>
                <w:lang w:val="en-US" w:eastAsia="zh-CN"/>
              </w:rPr>
            </w:pPr>
            <w:r>
              <w:rPr>
                <w:rFonts w:hint="default" w:ascii="宋体" w:hAnsi="宋体" w:eastAsia="宋体" w:cs="宋体"/>
                <w:sz w:val="21"/>
                <w:szCs w:val="21"/>
                <w:vertAlign w:val="baseline"/>
                <w:lang w:val="en-US" w:eastAsia="zh-CN"/>
              </w:rPr>
              <w:t>黑龙江省伊春市友好区双子河</w:t>
            </w:r>
          </w:p>
        </w:tc>
        <w:tc>
          <w:tcPr>
            <w:tcW w:w="480"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友好区农业农村局</w:t>
            </w:r>
          </w:p>
        </w:tc>
        <w:tc>
          <w:tcPr>
            <w:tcW w:w="780"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黑龙江国乾生态环境咨询有限公司</w:t>
            </w:r>
          </w:p>
        </w:tc>
        <w:tc>
          <w:tcPr>
            <w:tcW w:w="1853" w:type="dxa"/>
            <w:vAlign w:val="top"/>
          </w:tcPr>
          <w:p>
            <w:pPr>
              <w:bidi w:val="0"/>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 xml:space="preserve"> 本项目为改建类防洪除涝工程，修复护岸4处总长1448m，修复堤防3处总长299m；堤防防洪标准30年一遇，护岸按10年一遇洪水位设计，护岸采用格宾石笼结构，堤防护坡采用C30F200现浇混凝土。项目总投资680.00万元，环保投资29.63万元，环保投资占比4.36%</w:t>
            </w:r>
            <w:r>
              <w:rPr>
                <w:rFonts w:hint="eastAsia" w:ascii="宋体" w:hAnsi="宋体" w:cs="宋体"/>
                <w:szCs w:val="21"/>
                <w:vertAlign w:val="baseline"/>
                <w:lang w:val="en-US" w:eastAsia="zh-CN"/>
              </w:rPr>
              <w:t>。</w:t>
            </w:r>
          </w:p>
        </w:tc>
        <w:tc>
          <w:tcPr>
            <w:tcW w:w="6705" w:type="dxa"/>
          </w:tcPr>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eastAsia" w:ascii="宋体" w:hAnsi="宋体" w:cs="宋体"/>
                <w:szCs w:val="21"/>
                <w:vertAlign w:val="baseline"/>
                <w:lang w:val="en-US" w:eastAsia="zh-CN"/>
              </w:rPr>
              <w:t>1.</w:t>
            </w:r>
            <w:r>
              <w:rPr>
                <w:rFonts w:hint="default" w:ascii="宋体" w:hAnsi="宋体" w:eastAsia="宋体" w:cs="宋体"/>
                <w:szCs w:val="21"/>
                <w:vertAlign w:val="baseline"/>
                <w:lang w:val="en-US" w:eastAsia="zh-CN"/>
              </w:rPr>
              <w:t>陆生生态、黑土与水土流失</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影响：施工扰动地表、破坏临时占地植被，易引发黑土流失，惊扰区域野生动植物。</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措施：施工前剥离20cm黑土集中拦挡苫盖，完工全部回覆并播乡土草籽恢复植被；划分三大水土保持分区，裸露坡面全覆盖密目网，配套临时截排水沟、沉砂池；全线设置禁猎警示牌，避开动植物繁殖期高噪施工，严控施工红线。</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2.水环境</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影响：涉水施工扰动水体增加悬浮物，施工废水、油污、生活污水存在入河风险。</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措施：施工废水经沉淀全部回用降尘，严禁直排双子河；机械油箱铺设防渗垫；生活区设防渗旱厕，污水定期清掏；涉水作业安排枯水期，上下游设置水质监测断面，超标立即停工；建筑垃圾、弃土禁止倾倒河滩河道。</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3.大气环境</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影响：土方开挖、物料运输产生施工扬尘，机械排放尾气。</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措施：落实扬尘“六个100%”，围挡喷淋、物料全覆盖、车辆冲洗密闭运输、湿法作业；使用国四及以上低排放工程机械，大风天停止土方施工。</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4.声环境</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影响：施工机械、运输车辆产生噪声，扰动周边居民与野生动物。</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措施：选用低噪设备、配套减振消音；禁止22:00-6:00夜间施工；车辆途经村屯限速禁鸣，厂界执行《建筑施工噪声排放标准》（GB12523-2025）。</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5.</w:t>
            </w:r>
            <w:bookmarkStart w:id="0" w:name="_GoBack"/>
            <w:bookmarkEnd w:id="0"/>
            <w:r>
              <w:rPr>
                <w:rFonts w:hint="default" w:ascii="宋体" w:hAnsi="宋体" w:eastAsia="宋体" w:cs="宋体"/>
                <w:szCs w:val="21"/>
                <w:vertAlign w:val="baseline"/>
                <w:lang w:val="en-US" w:eastAsia="zh-CN"/>
              </w:rPr>
              <w:t>固体废物</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影响：产生弃土、生活垃圾、建筑垃圾、废机油等危废。</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r>
              <w:rPr>
                <w:rFonts w:hint="default" w:ascii="宋体" w:hAnsi="宋体" w:eastAsia="宋体" w:cs="宋体"/>
                <w:szCs w:val="21"/>
                <w:vertAlign w:val="baseline"/>
                <w:lang w:val="en-US" w:eastAsia="zh-CN"/>
              </w:rPr>
              <w:t>措施：弃土全部用作表土回覆；生活垃圾分类清运合规填埋；建筑垃圾统一外运处置；废机油等危废设防渗暂存间，交由资质单位转运，建立完整台账。</w:t>
            </w:r>
          </w:p>
          <w:p>
            <w:pPr>
              <w:keepNext w:val="0"/>
              <w:keepLines w:val="0"/>
              <w:pageBreakBefore w:val="0"/>
              <w:widowControl w:val="0"/>
              <w:kinsoku/>
              <w:wordWrap/>
              <w:overflowPunct/>
              <w:topLinePunct w:val="0"/>
              <w:autoSpaceDE/>
              <w:autoSpaceDN/>
              <w:bidi w:val="0"/>
              <w:adjustRightInd/>
              <w:snapToGrid/>
              <w:textAlignment w:val="auto"/>
              <w:rPr>
                <w:rFonts w:hint="default" w:ascii="宋体" w:hAnsi="宋体" w:eastAsia="宋体" w:cs="宋体"/>
                <w:szCs w:val="21"/>
                <w:vertAlign w:val="baseline"/>
                <w:lang w:val="en-US" w:eastAsia="zh-CN"/>
              </w:rPr>
            </w:pPr>
          </w:p>
        </w:tc>
        <w:tc>
          <w:tcPr>
            <w:tcW w:w="675"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是</w:t>
            </w:r>
          </w:p>
        </w:tc>
        <w:tc>
          <w:tcPr>
            <w:tcW w:w="661" w:type="dxa"/>
            <w:vAlign w:val="center"/>
          </w:tcPr>
          <w:p>
            <w:pPr>
              <w:ind w:left="0" w:leftChars="0" w:firstLine="0" w:firstLineChars="0"/>
              <w:jc w:val="center"/>
              <w:rPr>
                <w:rFonts w:hint="eastAsia" w:ascii="宋体" w:hAnsi="宋体" w:eastAsia="宋体" w:cs="宋体"/>
                <w:sz w:val="21"/>
                <w:szCs w:val="21"/>
                <w:vertAlign w:val="baseline"/>
                <w:lang w:val="en-US" w:eastAsia="zh-CN"/>
              </w:rPr>
            </w:pPr>
            <w:r>
              <w:rPr>
                <w:rFonts w:hint="eastAsia" w:ascii="宋体" w:hAnsi="宋体" w:eastAsia="宋体" w:cs="宋体"/>
                <w:sz w:val="21"/>
                <w:szCs w:val="21"/>
                <w:vertAlign w:val="baseline"/>
                <w:lang w:val="en-US" w:eastAsia="zh-CN"/>
              </w:rPr>
              <w:t>同意</w:t>
            </w:r>
          </w:p>
        </w:tc>
      </w:tr>
    </w:tbl>
    <w:p>
      <w:pPr>
        <w:ind w:left="0" w:leftChars="0" w:firstLine="0" w:firstLineChars="0"/>
        <w:rPr>
          <w:rFonts w:hint="default"/>
          <w:lang w:val="en-US" w:eastAsia="zh-CN"/>
        </w:rPr>
      </w:pPr>
    </w:p>
    <w:sectPr>
      <w:footerReference r:id="rId5" w:type="default"/>
      <w:pgSz w:w="16838" w:h="11906" w:orient="landscape"/>
      <w:pgMar w:top="1587" w:right="2098" w:bottom="1474" w:left="1984"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9"/>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04FF83"/>
    <w:multiLevelType w:val="singleLevel"/>
    <w:tmpl w:val="2004FF83"/>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wZGIxMTFmNTY4MDcyMGYxNjRkNTUwY2E2NjhhMGMifQ=="/>
    <w:docVar w:name="KSO_WPS_MARK_KEY" w:val="d4a4b53d-b30b-49ca-8b6d-de6cc8f3a68d"/>
  </w:docVars>
  <w:rsids>
    <w:rsidRoot w:val="00000000"/>
    <w:rsid w:val="018F3084"/>
    <w:rsid w:val="04FD60A3"/>
    <w:rsid w:val="05BE1FE7"/>
    <w:rsid w:val="086D06FA"/>
    <w:rsid w:val="0BFA1AA0"/>
    <w:rsid w:val="0DA744F4"/>
    <w:rsid w:val="0F006B8D"/>
    <w:rsid w:val="0F0C78AF"/>
    <w:rsid w:val="1B100B67"/>
    <w:rsid w:val="1DE41D5F"/>
    <w:rsid w:val="247C08CB"/>
    <w:rsid w:val="26DE2F46"/>
    <w:rsid w:val="2E756A3C"/>
    <w:rsid w:val="351C350A"/>
    <w:rsid w:val="357254E8"/>
    <w:rsid w:val="357E191C"/>
    <w:rsid w:val="39473971"/>
    <w:rsid w:val="3DD374F3"/>
    <w:rsid w:val="492A000E"/>
    <w:rsid w:val="4B5F4D8A"/>
    <w:rsid w:val="4B9D2C94"/>
    <w:rsid w:val="69AD4598"/>
    <w:rsid w:val="73B76E25"/>
    <w:rsid w:val="75742FE6"/>
    <w:rsid w:val="75C227F2"/>
    <w:rsid w:val="764630EB"/>
    <w:rsid w:val="794B3A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tLeast"/>
      <w:ind w:firstLine="0" w:firstLineChars="0"/>
      <w:jc w:val="both"/>
    </w:pPr>
    <w:rPr>
      <w:rFonts w:eastAsia="宋体" w:asciiTheme="minorAscii" w:hAnsiTheme="minorAscii" w:cstheme="minorBidi"/>
      <w:kern w:val="2"/>
      <w:sz w:val="21"/>
      <w:szCs w:val="24"/>
      <w:lang w:val="en-US" w:eastAsia="zh-CN" w:bidi="ar-SA"/>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line="500" w:lineRule="exact"/>
      <w:ind w:firstLine="570"/>
    </w:pPr>
    <w:rPr>
      <w:sz w:val="28"/>
      <w:szCs w:val="28"/>
    </w:rPr>
  </w:style>
  <w:style w:type="paragraph" w:styleId="3">
    <w:name w:val="Body Text"/>
    <w:basedOn w:val="1"/>
    <w:next w:val="4"/>
    <w:qFormat/>
    <w:uiPriority w:val="0"/>
    <w:pPr>
      <w:widowControl/>
      <w:snapToGrid w:val="0"/>
      <w:spacing w:before="60" w:after="160" w:line="259" w:lineRule="auto"/>
      <w:ind w:right="113"/>
    </w:pPr>
    <w:rPr>
      <w:kern w:val="0"/>
      <w:sz w:val="18"/>
      <w:szCs w:val="20"/>
    </w:rPr>
  </w:style>
  <w:style w:type="paragraph" w:customStyle="1" w:styleId="4">
    <w:name w:val="Normal (Web)1"/>
    <w:basedOn w:val="1"/>
    <w:next w:val="5"/>
    <w:qFormat/>
    <w:uiPriority w:val="0"/>
    <w:pPr>
      <w:widowControl/>
      <w:jc w:val="left"/>
    </w:pPr>
    <w:rPr>
      <w:rFonts w:ascii="宋体" w:cs="Times New Roman"/>
      <w:kern w:val="0"/>
      <w:sz w:val="24"/>
      <w:szCs w:val="21"/>
    </w:rPr>
  </w:style>
  <w:style w:type="paragraph" w:customStyle="1" w:styleId="5">
    <w:name w:val="Date1"/>
    <w:basedOn w:val="1"/>
    <w:next w:val="1"/>
    <w:qFormat/>
    <w:uiPriority w:val="0"/>
    <w:pPr>
      <w:ind w:left="2500" w:leftChars="2500"/>
    </w:pPr>
  </w:style>
  <w:style w:type="paragraph" w:styleId="6">
    <w:name w:val="Body Text Indent"/>
    <w:basedOn w:val="1"/>
    <w:next w:val="1"/>
    <w:qFormat/>
    <w:uiPriority w:val="0"/>
    <w:pPr>
      <w:spacing w:after="120"/>
      <w:ind w:left="420" w:leftChars="200"/>
    </w:pPr>
    <w:rPr>
      <w:kern w:val="0"/>
      <w:sz w:val="24"/>
      <w:szCs w:val="20"/>
    </w:rPr>
  </w:style>
  <w:style w:type="paragraph" w:styleId="7">
    <w:name w:val="Plain Text"/>
    <w:basedOn w:val="1"/>
    <w:next w:val="1"/>
    <w:qFormat/>
    <w:uiPriority w:val="0"/>
    <w:rPr>
      <w:rFonts w:hint="eastAsia" w:ascii="宋体" w:hAnsi="Courier New"/>
      <w:kern w:val="0"/>
      <w:sz w:val="20"/>
      <w:szCs w:val="21"/>
    </w:rPr>
  </w:style>
  <w:style w:type="paragraph" w:styleId="8">
    <w:name w:val="List Bullet 5"/>
    <w:basedOn w:val="1"/>
    <w:qFormat/>
    <w:uiPriority w:val="0"/>
    <w:pPr>
      <w:numPr>
        <w:ilvl w:val="0"/>
        <w:numId w:val="1"/>
      </w:numPr>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3"/>
    <w:next w:val="1"/>
    <w:qFormat/>
    <w:uiPriority w:val="0"/>
    <w:pPr>
      <w:ind w:firstLine="420" w:firstLineChars="100"/>
    </w:pPr>
    <w:rPr>
      <w:rFonts w:ascii="Times New Roman" w:hAnsi="Times New Roman"/>
      <w:szCs w:val="24"/>
    </w:rPr>
  </w:style>
  <w:style w:type="paragraph" w:styleId="12">
    <w:name w:val="Body Text First Indent 2"/>
    <w:basedOn w:val="6"/>
    <w:next w:val="11"/>
    <w:qFormat/>
    <w:uiPriority w:val="0"/>
    <w:pPr>
      <w:ind w:firstLine="420" w:firstLine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character" w:styleId="17">
    <w:name w:val="annotation reference"/>
    <w:basedOn w:val="15"/>
    <w:qFormat/>
    <w:uiPriority w:val="0"/>
    <w:rPr>
      <w:sz w:val="21"/>
      <w:szCs w:val="21"/>
    </w:rPr>
  </w:style>
  <w:style w:type="paragraph" w:customStyle="1" w:styleId="18">
    <w:name w:val="Default"/>
    <w:basedOn w:val="19"/>
    <w:next w:val="7"/>
    <w:unhideWhenUsed/>
    <w:qFormat/>
    <w:uiPriority w:val="99"/>
    <w:pPr>
      <w:widowControl w:val="0"/>
      <w:autoSpaceDE w:val="0"/>
      <w:autoSpaceDN w:val="0"/>
      <w:adjustRightInd w:val="0"/>
    </w:pPr>
    <w:rPr>
      <w:rFonts w:hint="eastAsia" w:ascii="Times New Roman" w:hAnsi="Times New Roman" w:eastAsia="Times New Roman" w:cs="Times New Roman"/>
      <w:color w:val="000000"/>
      <w:sz w:val="24"/>
      <w:szCs w:val="22"/>
      <w:lang w:val="en-US" w:eastAsia="zh-CN" w:bidi="ar-SA"/>
    </w:rPr>
  </w:style>
  <w:style w:type="paragraph" w:customStyle="1" w:styleId="19">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styleId="20">
    <w:name w:val="List Paragraph"/>
    <w:basedOn w:val="1"/>
    <w:qFormat/>
    <w:uiPriority w:val="34"/>
    <w:pPr>
      <w:ind w:firstLine="420" w:firstLineChars="200"/>
    </w:pPr>
  </w:style>
  <w:style w:type="paragraph" w:customStyle="1" w:styleId="21">
    <w:name w:val="11111"/>
    <w:basedOn w:val="1"/>
    <w:next w:val="1"/>
    <w:qFormat/>
    <w:uiPriority w:val="0"/>
    <w:pPr>
      <w:spacing w:line="360" w:lineRule="auto"/>
      <w:ind w:firstLine="200" w:firstLineChars="200"/>
    </w:pPr>
    <w:rPr>
      <w:rFonts w:hAnsi="宋体" w:cs="宋体"/>
    </w:rPr>
  </w:style>
  <w:style w:type="paragraph" w:customStyle="1" w:styleId="22">
    <w:name w:val="首行缩进表格正文"/>
    <w:basedOn w:val="1"/>
    <w:qFormat/>
    <w:uiPriority w:val="0"/>
    <w:pPr>
      <w:spacing w:line="360" w:lineRule="auto"/>
      <w:ind w:firstLine="720" w:firstLineChars="200"/>
      <w:jc w:val="left"/>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1061</Words>
  <Characters>1170</Characters>
  <Lines>0</Lines>
  <Paragraphs>0</Paragraphs>
  <TotalTime>11</TotalTime>
  <ScaleCrop>false</ScaleCrop>
  <LinksUpToDate>false</LinksUpToDate>
  <CharactersWithSpaces>1183</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2024-09-05T00:50:00Z</dcterms:created>
  <dc:creator>Administrator</dc:creator>
  <cp:lastModifiedBy>周航</cp:lastModifiedBy>
  <cp:lastPrinted>2025-09-22T02:15:00Z</cp:lastPrinted>
  <dcterms:modified xsi:type="dcterms:W3CDTF">2026-07-27T00:46:56Z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4C70378E5340475693113AD5A0686831</vt:lpwstr>
  </property>
</Properties>
</file>