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2026年6月5日伊春市友好生态环境局拟作出的建设项目环境影响评价</w:t>
      </w:r>
    </w:p>
    <w:p>
      <w:pPr>
        <w:ind w:left="0" w:leftChars="0" w:firstLine="0" w:firstLineChars="0"/>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文件审批意见的公示</w:t>
      </w:r>
    </w:p>
    <w:p>
      <w:pPr>
        <w:jc w:val="left"/>
        <w:rPr>
          <w:rFonts w:hint="eastAsia" w:asciiTheme="majorEastAsia" w:hAnsiTheme="majorEastAsia" w:eastAsiaTheme="majorEastAsia" w:cstheme="majorEastAsia"/>
          <w:b/>
          <w:bCs/>
          <w:sz w:val="36"/>
          <w:szCs w:val="36"/>
          <w:lang w:val="en-US" w:eastAsia="zh-CN"/>
        </w:rPr>
      </w:pPr>
      <w:bookmarkStart w:id="4" w:name="_GoBack"/>
      <w:bookmarkEnd w:id="4"/>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建设项目环境影响评价审批程序的有关规定，经审查，我局拟对1个建设项目环境影响评价文件作出审批意见。为保证审批意见的严肃性和公正性，现将拟作出审批意见的环境影响评价文件基本情况予以公示，公示期为2026年6月5日-2026年6月11日（5个工作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听证权利告知：依据《中华人民共和国行政许可法》，自公示起五日内、利害关系人可对以下拟作出的建设项目环境影响评价文件批复决定要求听证。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联系电话：0458-3298062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通讯地址：黑龙江省伊春市友好区和平路56号伊春市友好生态环境局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邮编：153031       公示网址：</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"http://www.yhq.gov.cn" </w:instrText>
      </w:r>
      <w:r>
        <w:rPr>
          <w:rFonts w:hint="eastAsia" w:ascii="仿宋_GB2312" w:hAnsi="仿宋_GB2312" w:eastAsia="仿宋_GB2312" w:cs="仿宋_GB2312"/>
          <w:sz w:val="32"/>
          <w:szCs w:val="32"/>
          <w:lang w:val="en-US" w:eastAsia="zh-CN"/>
        </w:rPr>
        <w:fldChar w:fldCharType="separate"/>
      </w:r>
      <w:r>
        <w:rPr>
          <w:rStyle w:val="16"/>
          <w:rFonts w:hint="eastAsia" w:ascii="仿宋_GB2312" w:hAnsi="仿宋_GB2312" w:eastAsia="仿宋_GB2312" w:cs="仿宋_GB2312"/>
          <w:sz w:val="32"/>
          <w:szCs w:val="32"/>
          <w:lang w:val="en-US" w:eastAsia="zh-CN"/>
        </w:rPr>
        <w:t>http://www.yhq.gov.cn</w:t>
      </w:r>
      <w:r>
        <w:rPr>
          <w:rFonts w:hint="eastAsia" w:ascii="仿宋_GB2312" w:hAnsi="仿宋_GB2312" w:eastAsia="仿宋_GB2312" w:cs="仿宋_GB2312"/>
          <w:sz w:val="32"/>
          <w:szCs w:val="32"/>
          <w:lang w:val="en-US" w:eastAsia="zh-CN"/>
        </w:rPr>
        <w:fldChar w:fldCharType="end"/>
      </w:r>
    </w:p>
    <w:p>
      <w:pPr>
        <w:rPr>
          <w:rFonts w:hint="default"/>
          <w:lang w:val="en-US" w:eastAsia="zh-CN"/>
        </w:rPr>
      </w:pPr>
    </w:p>
    <w:p>
      <w:pPr>
        <w:pStyle w:val="12"/>
        <w:rPr>
          <w:rFonts w:hint="default"/>
          <w:lang w:val="en-US" w:eastAsia="zh-CN"/>
        </w:rPr>
      </w:pPr>
    </w:p>
    <w:p>
      <w:pPr>
        <w:pStyle w:val="12"/>
        <w:ind w:left="0" w:leftChars="0" w:firstLine="0" w:firstLineChars="0"/>
        <w:rPr>
          <w:rFonts w:hint="default"/>
          <w:lang w:val="en-US" w:eastAsia="zh-CN"/>
        </w:rPr>
      </w:pPr>
    </w:p>
    <w:p>
      <w:pPr>
        <w:rPr>
          <w:rFonts w:hint="default"/>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
        <w:gridCol w:w="416"/>
        <w:gridCol w:w="1017"/>
        <w:gridCol w:w="480"/>
        <w:gridCol w:w="780"/>
        <w:gridCol w:w="1853"/>
        <w:gridCol w:w="6705"/>
        <w:gridCol w:w="675"/>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dxa"/>
            <w:vAlign w:val="center"/>
          </w:tcPr>
          <w:p>
            <w:pPr>
              <w:jc w:val="center"/>
              <w:rPr>
                <w:rFonts w:hint="default"/>
                <w:vertAlign w:val="baseline"/>
                <w:lang w:val="en-US" w:eastAsia="zh-CN"/>
              </w:rPr>
            </w:pPr>
            <w:r>
              <w:rPr>
                <w:rFonts w:hint="eastAsia"/>
                <w:vertAlign w:val="baseline"/>
                <w:lang w:val="en-US" w:eastAsia="zh-CN"/>
              </w:rPr>
              <w:t>序号</w:t>
            </w:r>
          </w:p>
        </w:tc>
        <w:tc>
          <w:tcPr>
            <w:tcW w:w="416"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017"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建设地点</w:t>
            </w:r>
          </w:p>
        </w:tc>
        <w:tc>
          <w:tcPr>
            <w:tcW w:w="480"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建设单位</w:t>
            </w:r>
          </w:p>
        </w:tc>
        <w:tc>
          <w:tcPr>
            <w:tcW w:w="780" w:type="dxa"/>
            <w:vAlign w:val="center"/>
          </w:tcPr>
          <w:p>
            <w:pPr>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环境影响评价机构</w:t>
            </w:r>
          </w:p>
        </w:tc>
        <w:tc>
          <w:tcPr>
            <w:tcW w:w="1853" w:type="dxa"/>
            <w:vAlign w:val="center"/>
          </w:tcPr>
          <w:p>
            <w:pPr>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项目概况</w:t>
            </w:r>
          </w:p>
        </w:tc>
        <w:tc>
          <w:tcPr>
            <w:tcW w:w="6705"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主要环境影响及预防或者减轻不良环境影响的对策和措施</w:t>
            </w:r>
          </w:p>
        </w:tc>
        <w:tc>
          <w:tcPr>
            <w:tcW w:w="675"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公众参与情况</w:t>
            </w:r>
          </w:p>
        </w:tc>
        <w:tc>
          <w:tcPr>
            <w:tcW w:w="661"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拟批复意见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8" w:hRule="atLeast"/>
        </w:trPr>
        <w:tc>
          <w:tcPr>
            <w:tcW w:w="385" w:type="dxa"/>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vertAlign w:val="baseline"/>
                <w:lang w:val="en-US" w:eastAsia="zh-CN"/>
              </w:rPr>
              <w:t>1</w:t>
            </w:r>
          </w:p>
        </w:tc>
        <w:tc>
          <w:tcPr>
            <w:tcW w:w="416" w:type="dxa"/>
            <w:vAlign w:val="center"/>
          </w:tcPr>
          <w:p>
            <w:pPr>
              <w:pStyle w:val="3"/>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黑龙江省伊春市友好区</w:t>
            </w:r>
            <w:r>
              <w:rPr>
                <w:rFonts w:hint="eastAsia" w:ascii="宋体" w:hAnsi="宋体" w:cs="宋体"/>
                <w:sz w:val="21"/>
                <w:szCs w:val="21"/>
                <w:lang w:eastAsia="zh-CN"/>
              </w:rPr>
              <w:t>上甘岭镇九年一贯制学校质量提升项目（一期）</w:t>
            </w:r>
          </w:p>
        </w:tc>
        <w:tc>
          <w:tcPr>
            <w:tcW w:w="1017" w:type="dxa"/>
            <w:vAlign w:val="center"/>
          </w:tcPr>
          <w:p>
            <w:pPr>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cs="宋体"/>
                <w:sz w:val="21"/>
                <w:szCs w:val="21"/>
                <w:lang w:eastAsia="zh-CN"/>
              </w:rPr>
              <w:t>黑龙江省伊春市友好区上甘岭镇为民社区</w:t>
            </w:r>
            <w:r>
              <w:rPr>
                <w:rFonts w:hint="eastAsia" w:ascii="宋体" w:hAnsi="宋体" w:cs="宋体"/>
                <w:sz w:val="21"/>
                <w:szCs w:val="21"/>
                <w:lang w:val="en-US" w:eastAsia="zh-CN"/>
              </w:rPr>
              <w:t>85号</w:t>
            </w:r>
          </w:p>
        </w:tc>
        <w:tc>
          <w:tcPr>
            <w:tcW w:w="480"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伊春市友好区第二小学</w:t>
            </w:r>
          </w:p>
        </w:tc>
        <w:tc>
          <w:tcPr>
            <w:tcW w:w="780"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 xml:space="preserve"> 黑龙江沃伊环保科技有限公司</w:t>
            </w:r>
          </w:p>
        </w:tc>
        <w:tc>
          <w:tcPr>
            <w:tcW w:w="1853" w:type="dxa"/>
            <w:vAlign w:val="top"/>
          </w:tcPr>
          <w:p>
            <w:pPr>
              <w:bidi w:val="0"/>
              <w:rPr>
                <w:rFonts w:hint="eastAsia"/>
              </w:rPr>
            </w:pPr>
            <w:bookmarkStart w:id="0" w:name="_Hlk113032400"/>
            <w:r>
              <w:rPr>
                <w:rFonts w:hint="eastAsia"/>
                <w:lang w:eastAsia="zh-CN"/>
              </w:rPr>
              <w:t>该</w:t>
            </w:r>
            <w:r>
              <w:rPr>
                <w:rFonts w:hint="eastAsia"/>
              </w:rPr>
              <w:t>项目</w:t>
            </w:r>
            <w:r>
              <w:rPr>
                <w:rFonts w:hint="eastAsia"/>
                <w:lang w:eastAsia="zh-CN"/>
              </w:rPr>
              <w:t>位于黑龙江省伊春市</w:t>
            </w:r>
            <w:bookmarkEnd w:id="0"/>
            <w:r>
              <w:rPr>
                <w:rFonts w:hint="eastAsia"/>
                <w:lang w:eastAsia="zh-CN"/>
              </w:rPr>
              <w:t>友好区上甘岭镇为民社区</w:t>
            </w:r>
            <w:r>
              <w:rPr>
                <w:rFonts w:hint="eastAsia"/>
                <w:lang w:val="en-US" w:eastAsia="zh-CN"/>
              </w:rPr>
              <w:t>85号</w:t>
            </w:r>
            <w:r>
              <w:rPr>
                <w:rFonts w:hint="eastAsia"/>
                <w:lang w:eastAsia="zh-CN"/>
              </w:rPr>
              <w:t>，项目主要内容为：</w:t>
            </w:r>
            <w:r>
              <w:rPr>
                <w:rFonts w:hint="eastAsia"/>
              </w:rPr>
              <w:t>教学楼总建筑面积3600.25平方米，实施外墙保温改造、室内物化生实验室改造、教学楼强弱电及暖气改造、室外升旗台改造，配套采购教学设备</w:t>
            </w:r>
            <w:r>
              <w:rPr>
                <w:rFonts w:hint="eastAsia"/>
                <w:lang w:eastAsia="zh-CN"/>
              </w:rPr>
              <w:t>。</w:t>
            </w:r>
            <w:r>
              <w:rPr>
                <w:rFonts w:hint="eastAsia"/>
              </w:rPr>
              <w:t>项目总投资</w:t>
            </w:r>
            <w:r>
              <w:rPr>
                <w:rFonts w:hint="eastAsia"/>
                <w:lang w:val="en-US" w:eastAsia="zh-CN"/>
              </w:rPr>
              <w:t>628.8</w:t>
            </w:r>
            <w:r>
              <w:rPr>
                <w:rFonts w:hint="eastAsia"/>
              </w:rPr>
              <w:t>万元，其中环保投资</w:t>
            </w:r>
            <w:r>
              <w:rPr>
                <w:rFonts w:hint="eastAsia"/>
                <w:lang w:val="en-US" w:eastAsia="zh-CN"/>
              </w:rPr>
              <w:t>6</w:t>
            </w:r>
            <w:r>
              <w:rPr>
                <w:rFonts w:hint="eastAsia"/>
              </w:rPr>
              <w:t>万元，环保投资占总投资比例的</w:t>
            </w:r>
            <w:r>
              <w:rPr>
                <w:rFonts w:hint="eastAsia"/>
                <w:lang w:val="en-US" w:eastAsia="zh-CN"/>
              </w:rPr>
              <w:t>0.96</w:t>
            </w:r>
            <w:r>
              <w:rPr>
                <w:rFonts w:hint="eastAsia"/>
              </w:rPr>
              <w:t>％。</w:t>
            </w:r>
          </w:p>
          <w:p>
            <w:pPr>
              <w:bidi w:val="0"/>
              <w:rPr>
                <w:rFonts w:hint="eastAsia"/>
                <w:lang w:val="en-US"/>
              </w:rPr>
            </w:pPr>
          </w:p>
          <w:p>
            <w:pPr>
              <w:bidi w:val="0"/>
              <w:rPr>
                <w:rFonts w:hint="eastAsia" w:ascii="宋体" w:hAnsi="宋体" w:eastAsia="宋体" w:cs="宋体"/>
                <w:szCs w:val="21"/>
                <w:vertAlign w:val="baseline"/>
                <w:lang w:val="en-US" w:eastAsia="zh-CN"/>
              </w:rPr>
            </w:pPr>
          </w:p>
        </w:tc>
        <w:tc>
          <w:tcPr>
            <w:tcW w:w="6705" w:type="dxa"/>
          </w:tcPr>
          <w:p>
            <w:pPr>
              <w:bidi w:val="0"/>
              <w:rPr>
                <w:rFonts w:hint="eastAsia"/>
              </w:rPr>
            </w:pPr>
            <w:r>
              <w:rPr>
                <w:rFonts w:hint="eastAsia"/>
              </w:rPr>
              <w:t xml:space="preserve">（一）施工期 </w:t>
            </w:r>
          </w:p>
          <w:p>
            <w:pPr>
              <w:bidi w:val="0"/>
              <w:rPr>
                <w:rFonts w:hint="default"/>
                <w:lang w:eastAsia="zh-CN"/>
              </w:rPr>
            </w:pPr>
            <w:bookmarkStart w:id="1" w:name="OLE_LINK1"/>
            <w:r>
              <w:rPr>
                <w:rFonts w:hint="eastAsia"/>
                <w:lang w:val="en-US" w:eastAsia="zh-CN"/>
              </w:rPr>
              <w:t>1、废气：本项目主要为室内装修，对环境影响很小，施工期产生的无组织颗粒物执行</w:t>
            </w:r>
            <w:r>
              <w:rPr>
                <w:rFonts w:hint="default"/>
                <w:lang w:eastAsia="zh-CN"/>
              </w:rPr>
              <w:t>《大气污染物综合排放标准》（GB16297-1996）无组织排放限值。</w:t>
            </w:r>
          </w:p>
          <w:p>
            <w:pPr>
              <w:bidi w:val="0"/>
              <w:rPr>
                <w:rFonts w:hint="default"/>
              </w:rPr>
            </w:pPr>
            <w:r>
              <w:rPr>
                <w:rFonts w:hint="eastAsia"/>
                <w:lang w:val="en-US" w:eastAsia="zh-CN"/>
              </w:rPr>
              <w:t>2、废水：</w:t>
            </w:r>
            <w:r>
              <w:rPr>
                <w:rFonts w:hint="default"/>
              </w:rPr>
              <w:t>施工过程中产生的废水主要为施工人员排放的生活污水，产生</w:t>
            </w:r>
            <w:r>
              <w:rPr>
                <w:rFonts w:hint="eastAsia"/>
                <w:lang w:eastAsia="zh-CN"/>
              </w:rPr>
              <w:t>量</w:t>
            </w:r>
            <w:r>
              <w:rPr>
                <w:rFonts w:hint="default"/>
              </w:rPr>
              <w:t>较少</w:t>
            </w:r>
            <w:r>
              <w:rPr>
                <w:rFonts w:hint="eastAsia"/>
                <w:lang w:eastAsia="zh-CN"/>
              </w:rPr>
              <w:t>，</w:t>
            </w:r>
            <w:r>
              <w:rPr>
                <w:rFonts w:hint="default"/>
              </w:rPr>
              <w:t>排入</w:t>
            </w:r>
            <w:r>
              <w:rPr>
                <w:rFonts w:hint="eastAsia"/>
                <w:lang w:val="en-US" w:eastAsia="zh-CN"/>
              </w:rPr>
              <w:t>市政污水管网，严禁乱排乱放</w:t>
            </w:r>
            <w:r>
              <w:rPr>
                <w:rFonts w:hint="default"/>
              </w:rPr>
              <w:t>。</w:t>
            </w:r>
          </w:p>
          <w:p>
            <w:pPr>
              <w:bidi w:val="0"/>
              <w:rPr>
                <w:rFonts w:hint="default"/>
                <w:lang w:eastAsia="zh-CN"/>
              </w:rPr>
            </w:pPr>
            <w:r>
              <w:rPr>
                <w:rFonts w:hint="eastAsia"/>
                <w:lang w:val="en-US" w:eastAsia="zh-CN"/>
              </w:rPr>
              <w:t>3、</w:t>
            </w:r>
            <w:r>
              <w:rPr>
                <w:rFonts w:hint="default"/>
              </w:rPr>
              <w:t>噪声</w:t>
            </w:r>
            <w:r>
              <w:rPr>
                <w:rFonts w:hint="eastAsia"/>
                <w:lang w:eastAsia="zh-CN"/>
              </w:rPr>
              <w:t>：施工过程中产生的噪声</w:t>
            </w:r>
            <w:r>
              <w:rPr>
                <w:rFonts w:hint="default"/>
              </w:rPr>
              <w:t>主要是</w:t>
            </w:r>
            <w:r>
              <w:rPr>
                <w:rFonts w:hint="eastAsia"/>
                <w:lang w:val="en-US" w:eastAsia="zh-CN"/>
              </w:rPr>
              <w:t>室内装修噪声，应</w:t>
            </w:r>
            <w:r>
              <w:rPr>
                <w:rFonts w:hint="default"/>
                <w:lang w:eastAsia="zh-CN"/>
              </w:rPr>
              <w:t>避免高噪声设备同时施工，造成施工噪声集中现象</w:t>
            </w:r>
            <w:r>
              <w:rPr>
                <w:rFonts w:hint="eastAsia"/>
                <w:lang w:eastAsia="zh-CN"/>
              </w:rPr>
              <w:t>，</w:t>
            </w:r>
            <w:r>
              <w:rPr>
                <w:rFonts w:hint="default"/>
                <w:lang w:eastAsia="zh-CN"/>
              </w:rPr>
              <w:t>合理安排施工时间，制订施工</w:t>
            </w:r>
            <w:r>
              <w:rPr>
                <w:rFonts w:hint="eastAsia"/>
                <w:lang w:eastAsia="zh-CN"/>
              </w:rPr>
              <w:t>计划，</w:t>
            </w:r>
            <w:r>
              <w:rPr>
                <w:rFonts w:hint="default"/>
                <w:lang w:eastAsia="zh-CN"/>
              </w:rPr>
              <w:t>禁止夜间（22:00~6:00）施工，施工单位应征求、听取周围群众的意见，对施工中可能出现的扰民现象及时予以通报，并接受公众监督。设备选型上，在不影响施工质量的前提下，应采用低噪声、低振动的设备</w:t>
            </w:r>
            <w:r>
              <w:rPr>
                <w:rFonts w:hint="eastAsia"/>
                <w:lang w:eastAsia="zh-CN"/>
              </w:rPr>
              <w:t>，</w:t>
            </w:r>
            <w:r>
              <w:rPr>
                <w:rFonts w:hint="default"/>
                <w:lang w:eastAsia="zh-CN"/>
              </w:rPr>
              <w:t>施工场界噪声</w:t>
            </w:r>
            <w:r>
              <w:rPr>
                <w:rFonts w:hint="eastAsia"/>
                <w:lang w:eastAsia="zh-CN"/>
              </w:rPr>
              <w:t>需</w:t>
            </w:r>
            <w:r>
              <w:rPr>
                <w:rFonts w:hint="default"/>
                <w:lang w:eastAsia="zh-CN"/>
              </w:rPr>
              <w:t>满足《建筑施工噪声排放标准》 (</w:t>
            </w:r>
            <w:r>
              <w:rPr>
                <w:rFonts w:hint="eastAsia"/>
                <w:lang w:eastAsia="zh-CN"/>
              </w:rPr>
              <w:t>GB 12523</w:t>
            </w:r>
            <w:r>
              <w:rPr>
                <w:rFonts w:hint="default"/>
                <w:lang w:eastAsia="zh-CN"/>
              </w:rPr>
              <w:t>-20</w:t>
            </w:r>
            <w:r>
              <w:rPr>
                <w:rFonts w:hint="eastAsia"/>
                <w:lang w:val="en-US" w:eastAsia="zh-CN"/>
              </w:rPr>
              <w:t>25</w:t>
            </w:r>
            <w:r>
              <w:rPr>
                <w:rFonts w:hint="default"/>
                <w:lang w:eastAsia="zh-CN"/>
              </w:rPr>
              <w:t>)要求。</w:t>
            </w:r>
          </w:p>
          <w:p>
            <w:pPr>
              <w:bidi w:val="0"/>
              <w:rPr>
                <w:rFonts w:hint="default"/>
              </w:rPr>
            </w:pPr>
            <w:r>
              <w:rPr>
                <w:rFonts w:hint="default"/>
              </w:rPr>
              <w:t>4、固体废物</w:t>
            </w:r>
            <w:r>
              <w:rPr>
                <w:rFonts w:hint="eastAsia"/>
                <w:lang w:eastAsia="zh-CN"/>
              </w:rPr>
              <w:t>：</w:t>
            </w:r>
            <w:r>
              <w:rPr>
                <w:rFonts w:hint="default"/>
              </w:rPr>
              <w:t>本项目施工期间的固体废物主要是建筑垃圾和生活垃圾，建筑垃圾</w:t>
            </w:r>
            <w:r>
              <w:rPr>
                <w:rFonts w:hint="eastAsia"/>
                <w:lang w:eastAsia="zh-CN"/>
              </w:rPr>
              <w:t>运</w:t>
            </w:r>
            <w:r>
              <w:rPr>
                <w:rFonts w:hint="default"/>
              </w:rPr>
              <w:t>至市政部门指定地点，生活垃圾由环卫部门统一处置，避免随意堆放。</w:t>
            </w:r>
          </w:p>
          <w:bookmarkEnd w:id="1"/>
          <w:p>
            <w:pPr>
              <w:bidi w:val="0"/>
              <w:rPr>
                <w:rFonts w:hint="eastAsia"/>
                <w:lang w:eastAsia="zh-CN"/>
              </w:rPr>
            </w:pPr>
            <w:r>
              <w:rPr>
                <w:rFonts w:hint="eastAsia"/>
                <w:lang w:eastAsia="zh-CN"/>
              </w:rPr>
              <w:t>（二）运营期</w:t>
            </w:r>
          </w:p>
          <w:p>
            <w:pPr>
              <w:bidi w:val="0"/>
              <w:rPr>
                <w:rFonts w:hint="eastAsia"/>
                <w:lang w:eastAsia="zh-CN"/>
              </w:rPr>
            </w:pPr>
            <w:r>
              <w:rPr>
                <w:rFonts w:hint="eastAsia"/>
                <w:lang w:val="en-US" w:eastAsia="zh-CN"/>
              </w:rPr>
              <w:t>1、废气：</w:t>
            </w:r>
            <w:r>
              <w:rPr>
                <w:rFonts w:hint="eastAsia"/>
                <w:lang w:eastAsia="zh-CN"/>
              </w:rPr>
              <w:t>本项目实验室废气主要来源于化学实验室，</w:t>
            </w:r>
            <w:r>
              <w:rPr>
                <w:rFonts w:hint="default"/>
              </w:rPr>
              <w:t>经</w:t>
            </w:r>
            <w:r>
              <w:rPr>
                <w:rFonts w:hint="eastAsia"/>
                <w:lang w:eastAsia="zh-CN"/>
              </w:rPr>
              <w:t>通风橱</w:t>
            </w:r>
            <w:r>
              <w:rPr>
                <w:rFonts w:hint="eastAsia"/>
                <w:lang w:val="en-US" w:eastAsia="zh-CN"/>
              </w:rPr>
              <w:t>+二级</w:t>
            </w:r>
            <w:r>
              <w:rPr>
                <w:rFonts w:hint="default"/>
              </w:rPr>
              <w:t>活性炭处理后，通过</w:t>
            </w:r>
            <w:r>
              <w:rPr>
                <w:rFonts w:hint="eastAsia"/>
                <w:lang w:val="en-US" w:eastAsia="zh-CN"/>
              </w:rPr>
              <w:t>21</w:t>
            </w:r>
            <w:r>
              <w:rPr>
                <w:rFonts w:hint="default"/>
              </w:rPr>
              <w:t>m排气筒排放，</w:t>
            </w:r>
            <w:r>
              <w:rPr>
                <w:rFonts w:hint="eastAsia"/>
                <w:lang w:eastAsia="zh-CN"/>
              </w:rPr>
              <w:t>排放浓度及速率需</w:t>
            </w:r>
            <w:r>
              <w:rPr>
                <w:rFonts w:hint="default"/>
              </w:rPr>
              <w:t>满足《大气污染物综合排放标准》（GB16297-1996）表2中二级标准</w:t>
            </w:r>
            <w:r>
              <w:rPr>
                <w:rFonts w:hint="eastAsia"/>
                <w:lang w:eastAsia="zh-CN"/>
              </w:rPr>
              <w:t>，</w:t>
            </w:r>
            <w:r>
              <w:rPr>
                <w:rFonts w:hint="default"/>
                <w:lang w:eastAsia="zh-CN"/>
              </w:rPr>
              <w:t>排放速率</w:t>
            </w:r>
            <w:r>
              <w:rPr>
                <w:rFonts w:hint="eastAsia"/>
                <w:lang w:eastAsia="zh-CN"/>
              </w:rPr>
              <w:t>按标准值</w:t>
            </w:r>
            <w:r>
              <w:rPr>
                <w:rFonts w:hint="default"/>
              </w:rPr>
              <w:t>严格50%</w:t>
            </w:r>
            <w:r>
              <w:rPr>
                <w:rFonts w:hint="eastAsia"/>
                <w:lang w:eastAsia="zh-CN"/>
              </w:rPr>
              <w:t>执行；学校边</w:t>
            </w:r>
            <w:r>
              <w:rPr>
                <w:rFonts w:hint="eastAsia"/>
              </w:rPr>
              <w:t>界无组织排放</w:t>
            </w:r>
            <w:r>
              <w:rPr>
                <w:rFonts w:hint="eastAsia"/>
                <w:lang w:eastAsia="zh-CN"/>
              </w:rPr>
              <w:t>需</w:t>
            </w:r>
            <w:r>
              <w:rPr>
                <w:rFonts w:hint="eastAsia"/>
              </w:rPr>
              <w:t>符合《大气污染物综合排放标准》（GB16297-1996）表2中的无组织排放限值</w:t>
            </w:r>
            <w:r>
              <w:rPr>
                <w:rFonts w:hint="eastAsia"/>
                <w:lang w:eastAsia="zh-CN"/>
              </w:rPr>
              <w:t>。</w:t>
            </w:r>
          </w:p>
          <w:p>
            <w:pPr>
              <w:bidi w:val="0"/>
              <w:rPr>
                <w:rFonts w:hint="default"/>
              </w:rPr>
            </w:pPr>
            <w:r>
              <w:rPr>
                <w:rFonts w:hint="eastAsia"/>
                <w:lang w:val="en-US" w:eastAsia="zh-CN"/>
              </w:rPr>
              <w:t>2、废水：</w:t>
            </w:r>
            <w:bookmarkStart w:id="2" w:name="OLE_LINK2"/>
            <w:r>
              <w:rPr>
                <w:rFonts w:hint="default"/>
              </w:rPr>
              <w:t>本项目化学实验后器皿二次以上冲洗废水经酸碱中和池处理后，与生活污水一同排入化粪池后，进入市政管网，</w:t>
            </w:r>
            <w:r>
              <w:rPr>
                <w:rFonts w:hint="eastAsia"/>
                <w:lang w:eastAsia="zh-CN"/>
              </w:rPr>
              <w:t>进入上甘岭污水处理厂</w:t>
            </w:r>
            <w:r>
              <w:rPr>
                <w:rFonts w:hint="default"/>
              </w:rPr>
              <w:t>处理</w:t>
            </w:r>
            <w:r>
              <w:rPr>
                <w:rFonts w:hint="eastAsia"/>
                <w:lang w:eastAsia="zh-CN"/>
              </w:rPr>
              <w:t>达标</w:t>
            </w:r>
            <w:r>
              <w:rPr>
                <w:rFonts w:hint="default"/>
              </w:rPr>
              <w:t>后排入</w:t>
            </w:r>
            <w:r>
              <w:t>汤旺河</w:t>
            </w:r>
            <w:r>
              <w:rPr>
                <w:rFonts w:hint="default"/>
              </w:rPr>
              <w:t>。</w:t>
            </w:r>
            <w:bookmarkEnd w:id="2"/>
          </w:p>
          <w:p>
            <w:pPr>
              <w:bidi w:val="0"/>
              <w:rPr>
                <w:rFonts w:hint="eastAsia"/>
                <w:lang w:val="en-US" w:eastAsia="zh-CN"/>
              </w:rPr>
            </w:pPr>
            <w:r>
              <w:rPr>
                <w:rFonts w:hint="eastAsia"/>
                <w:lang w:val="en-US" w:eastAsia="zh-CN"/>
              </w:rPr>
              <w:t>3、噪声：本项目</w:t>
            </w:r>
            <w:r>
              <w:t>噪声主要来源于运转的设备，设备噪声源主要为</w:t>
            </w:r>
            <w:bookmarkStart w:id="3" w:name="_Hlk77175645"/>
            <w:r>
              <w:t>风机</w:t>
            </w:r>
            <w:r>
              <w:rPr>
                <w:rFonts w:hint="eastAsia"/>
                <w:lang w:eastAsia="zh-CN"/>
              </w:rPr>
              <w:t>、</w:t>
            </w:r>
            <w:r>
              <w:rPr>
                <w:rFonts w:hint="eastAsia"/>
                <w:lang w:val="en-US" w:eastAsia="zh-CN"/>
              </w:rPr>
              <w:t>水泵</w:t>
            </w:r>
            <w:r>
              <w:t>等</w:t>
            </w:r>
            <w:bookmarkEnd w:id="3"/>
            <w:r>
              <w:t>，</w:t>
            </w:r>
            <w:r>
              <w:rPr>
                <w:rFonts w:hint="eastAsia"/>
                <w:lang w:eastAsia="zh-CN"/>
              </w:rPr>
              <w:t>应</w:t>
            </w:r>
            <w:r>
              <w:rPr>
                <w:rFonts w:hint="default"/>
                <w:lang w:val="en-US" w:eastAsia="zh-CN"/>
              </w:rPr>
              <w:t>选用低噪声设备，设备装设减振垫，风机进、出风口装设</w:t>
            </w:r>
            <w:r>
              <w:rPr>
                <w:rFonts w:hint="eastAsia"/>
                <w:lang w:val="en-US" w:eastAsia="zh-CN"/>
              </w:rPr>
              <w:t>消声器</w:t>
            </w:r>
            <w:r>
              <w:rPr>
                <w:rFonts w:hint="default"/>
                <w:lang w:val="en-US" w:eastAsia="zh-CN"/>
              </w:rPr>
              <w:t>，再通过房</w:t>
            </w:r>
            <w:r>
              <w:rPr>
                <w:rFonts w:hint="eastAsia"/>
                <w:lang w:val="en-US" w:eastAsia="zh-CN"/>
              </w:rPr>
              <w:t>屋</w:t>
            </w:r>
            <w:r>
              <w:rPr>
                <w:rFonts w:hint="default"/>
                <w:lang w:val="en-US" w:eastAsia="zh-CN"/>
              </w:rPr>
              <w:t>隔声等措施，限制噪声向外传播</w:t>
            </w:r>
            <w:r>
              <w:rPr>
                <w:rFonts w:hint="eastAsia"/>
                <w:lang w:val="en-US" w:eastAsia="zh-CN"/>
              </w:rPr>
              <w:t>。</w:t>
            </w:r>
          </w:p>
          <w:p>
            <w:pPr>
              <w:bidi w:val="0"/>
              <w:rPr>
                <w:rFonts w:hint="default" w:ascii="Times New Roman" w:hAnsi="Times New Roman" w:cs="Times New Roman"/>
                <w:bCs/>
                <w:color w:val="auto"/>
                <w:szCs w:val="21"/>
                <w:highlight w:val="none"/>
              </w:rPr>
            </w:pPr>
            <w:r>
              <w:rPr>
                <w:rFonts w:hint="eastAsia"/>
                <w:lang w:val="en-US" w:eastAsia="zh-CN"/>
              </w:rPr>
              <w:t>4、固体废物：</w:t>
            </w:r>
            <w:r>
              <w:rPr>
                <w:rFonts w:hint="eastAsia" w:ascii="Times New Roman" w:hAnsi="Times New Roman" w:eastAsia="宋体" w:cs="Times New Roman"/>
                <w:color w:val="auto"/>
                <w:sz w:val="21"/>
                <w:szCs w:val="21"/>
                <w:highlight w:val="none"/>
                <w:lang w:eastAsia="zh-CN"/>
              </w:rPr>
              <w:t>生活垃圾</w:t>
            </w:r>
            <w:r>
              <w:rPr>
                <w:rFonts w:hint="default" w:ascii="Times New Roman" w:hAnsi="Times New Roman" w:cs="Times New Roman"/>
                <w:color w:val="auto"/>
                <w:highlight w:val="none"/>
              </w:rPr>
              <w:t>交由市政部门统一处理</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实验室废液</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初清洗废水</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废活性炭</w:t>
            </w:r>
            <w:r>
              <w:rPr>
                <w:rFonts w:hint="eastAsia" w:ascii="Times New Roman" w:hAnsi="Times New Roman" w:cs="Times New Roman"/>
                <w:color w:val="auto"/>
                <w:highlight w:val="none"/>
                <w:lang w:eastAsia="zh-CN"/>
              </w:rPr>
              <w:t>、</w:t>
            </w:r>
            <w:r>
              <w:rPr>
                <w:rFonts w:hint="eastAsia" w:ascii="Times New Roman" w:hAnsi="Times New Roman" w:cs="Times New Roman"/>
                <w:bCs/>
                <w:color w:val="auto"/>
                <w:szCs w:val="21"/>
                <w:highlight w:val="none"/>
                <w:lang w:eastAsia="zh-CN"/>
              </w:rPr>
              <w:t>报</w:t>
            </w:r>
            <w:r>
              <w:rPr>
                <w:rFonts w:hint="default" w:ascii="Times New Roman" w:hAnsi="Times New Roman" w:cs="Times New Roman"/>
                <w:bCs/>
                <w:color w:val="auto"/>
                <w:szCs w:val="21"/>
                <w:highlight w:val="none"/>
              </w:rPr>
              <w:t>废化学试剂及实验室药剂废包装</w:t>
            </w:r>
            <w:r>
              <w:rPr>
                <w:rFonts w:hint="eastAsia" w:ascii="Times New Roman" w:hAnsi="Times New Roman" w:cs="Times New Roman"/>
                <w:bCs/>
                <w:color w:val="auto"/>
                <w:szCs w:val="21"/>
                <w:highlight w:val="none"/>
                <w:lang w:eastAsia="zh-CN"/>
              </w:rPr>
              <w:t>分类</w:t>
            </w:r>
            <w:r>
              <w:rPr>
                <w:rFonts w:hint="default" w:ascii="Times New Roman" w:hAnsi="Times New Roman" w:cs="Times New Roman"/>
                <w:bCs/>
                <w:color w:val="auto"/>
                <w:szCs w:val="21"/>
                <w:highlight w:val="none"/>
              </w:rPr>
              <w:t>集中收集，暂存于</w:t>
            </w:r>
            <w:r>
              <w:rPr>
                <w:rFonts w:hint="eastAsia" w:ascii="Times New Roman" w:hAnsi="Times New Roman" w:cs="Times New Roman"/>
                <w:bCs/>
                <w:color w:val="auto"/>
                <w:szCs w:val="21"/>
                <w:highlight w:val="none"/>
                <w:lang w:eastAsia="zh-CN"/>
              </w:rPr>
              <w:t>危险废物</w:t>
            </w:r>
            <w:r>
              <w:rPr>
                <w:rFonts w:hint="eastAsia" w:cs="Times New Roman"/>
                <w:bCs/>
                <w:color w:val="auto"/>
                <w:szCs w:val="21"/>
                <w:highlight w:val="none"/>
                <w:lang w:eastAsia="zh-CN"/>
              </w:rPr>
              <w:t>贮存点</w:t>
            </w:r>
            <w:r>
              <w:rPr>
                <w:rFonts w:hint="default" w:ascii="Times New Roman" w:hAnsi="Times New Roman" w:cs="Times New Roman"/>
                <w:bCs/>
                <w:color w:val="auto"/>
                <w:szCs w:val="21"/>
                <w:highlight w:val="none"/>
              </w:rPr>
              <w:t>，委托有资质单位处理。</w:t>
            </w:r>
          </w:p>
          <w:p>
            <w:pPr>
              <w:bidi w:val="0"/>
              <w:rPr>
                <w:rFonts w:hint="eastAsia"/>
              </w:rPr>
            </w:pPr>
            <w:r>
              <w:rPr>
                <w:rFonts w:hint="eastAsia"/>
                <w:lang w:val="en-US" w:eastAsia="zh-CN"/>
              </w:rPr>
              <w:t>5、</w:t>
            </w:r>
            <w:r>
              <w:rPr>
                <w:rFonts w:hint="eastAsia"/>
              </w:rPr>
              <w:t>土壤与地下水</w:t>
            </w:r>
            <w:r>
              <w:rPr>
                <w:rFonts w:hint="eastAsia"/>
                <w:lang w:eastAsia="zh-CN"/>
              </w:rPr>
              <w:t>：</w:t>
            </w:r>
            <w:r>
              <w:rPr>
                <w:rFonts w:hint="eastAsia"/>
              </w:rPr>
              <w:t>危险废物贮存点按重点防渗区建设，采用2mm厚高密度聚乙烯防渗层（</w:t>
            </w:r>
            <w:r>
              <w:rPr>
                <w:rFonts w:hint="eastAsia"/>
                <w:lang w:eastAsia="zh-CN"/>
              </w:rPr>
              <w:t>渗透系数</w:t>
            </w:r>
            <w:r>
              <w:rPr>
                <w:rFonts w:hint="eastAsia"/>
                <w:color w:val="auto"/>
                <w:szCs w:val="21"/>
                <w:highlight w:val="none"/>
              </w:rPr>
              <w:t>≤1×10</w:t>
            </w:r>
            <w:r>
              <w:rPr>
                <w:rFonts w:hint="eastAsia"/>
                <w:color w:val="auto"/>
                <w:szCs w:val="21"/>
                <w:highlight w:val="none"/>
                <w:vertAlign w:val="superscript"/>
              </w:rPr>
              <w:t>-10</w:t>
            </w:r>
            <w:r>
              <w:rPr>
                <w:rFonts w:hint="eastAsia"/>
                <w:color w:val="auto"/>
                <w:szCs w:val="21"/>
                <w:highlight w:val="none"/>
              </w:rPr>
              <w:t>cm/s</w:t>
            </w:r>
            <w:r>
              <w:rPr>
                <w:rFonts w:hint="eastAsia"/>
              </w:rPr>
              <w:t>）</w:t>
            </w:r>
            <w:r>
              <w:rPr>
                <w:rFonts w:hint="eastAsia"/>
                <w:lang w:eastAsia="zh-CN"/>
              </w:rPr>
              <w:t>，危险废物贮存点外张贴明显标识，</w:t>
            </w:r>
            <w:r>
              <w:rPr>
                <w:rFonts w:hint="eastAsia"/>
              </w:rPr>
              <w:t>酸碱中和池按一般防渗区建设，</w:t>
            </w:r>
            <w:r>
              <w:rPr>
                <w:rFonts w:hint="eastAsia"/>
                <w:lang w:eastAsia="zh-CN"/>
              </w:rPr>
              <w:t>其他地面按简单防渗区建设，</w:t>
            </w:r>
            <w:r>
              <w:rPr>
                <w:rFonts w:hint="eastAsia"/>
              </w:rPr>
              <w:t>做好防渗措施，防止土壤、地下水污染。</w:t>
            </w:r>
          </w:p>
          <w:p>
            <w:pPr>
              <w:bidi w:val="0"/>
              <w:rPr>
                <w:rFonts w:hint="eastAsia"/>
              </w:rPr>
            </w:pPr>
            <w:r>
              <w:rPr>
                <w:rFonts w:hint="eastAsia"/>
                <w:lang w:val="en-US" w:eastAsia="zh-CN"/>
              </w:rPr>
              <w:t>6、</w:t>
            </w:r>
            <w:r>
              <w:rPr>
                <w:rFonts w:hint="eastAsia"/>
              </w:rPr>
              <w:t>环境风险</w:t>
            </w:r>
            <w:r>
              <w:rPr>
                <w:rFonts w:hint="eastAsia"/>
                <w:lang w:eastAsia="zh-CN"/>
              </w:rPr>
              <w:t>：</w:t>
            </w:r>
            <w:r>
              <w:rPr>
                <w:rFonts w:hint="eastAsia"/>
              </w:rPr>
              <w:t>建立实验室安全管理制度，规范</w:t>
            </w:r>
            <w:r>
              <w:rPr>
                <w:rFonts w:hint="eastAsia"/>
                <w:lang w:eastAsia="zh-CN"/>
              </w:rPr>
              <w:t>实验室安全操作、</w:t>
            </w:r>
            <w:r>
              <w:rPr>
                <w:rFonts w:hint="eastAsia"/>
              </w:rPr>
              <w:t>危险化学品</w:t>
            </w:r>
            <w:r>
              <w:rPr>
                <w:rFonts w:hint="eastAsia"/>
                <w:lang w:eastAsia="zh-CN"/>
              </w:rPr>
              <w:t>和危险废物管理，建立领导监督负责、员工值日的安全检查制度并</w:t>
            </w:r>
            <w:r>
              <w:rPr>
                <w:rFonts w:hint="eastAsia"/>
              </w:rPr>
              <w:t>配备应急物资</w:t>
            </w:r>
            <w:r>
              <w:rPr>
                <w:rFonts w:hint="eastAsia"/>
                <w:lang w:eastAsia="zh-CN"/>
              </w:rPr>
              <w:t>设备</w:t>
            </w:r>
            <w:r>
              <w:rPr>
                <w:rFonts w:hint="eastAsia"/>
              </w:rPr>
              <w:t>，杜绝环境风险事故。</w:t>
            </w:r>
          </w:p>
          <w:p>
            <w:pPr>
              <w:bidi w:val="0"/>
              <w:rPr>
                <w:rFonts w:hint="eastAsia"/>
              </w:rPr>
            </w:pPr>
          </w:p>
          <w:p>
            <w:pPr>
              <w:pStyle w:val="2"/>
              <w:ind w:left="0" w:leftChars="0" w:firstLine="0" w:firstLineChars="0"/>
              <w:rPr>
                <w:rFonts w:hint="eastAsia" w:eastAsia="宋体"/>
                <w:lang w:val="en-US" w:eastAsia="zh-CN"/>
              </w:rPr>
            </w:pPr>
          </w:p>
          <w:p>
            <w:pPr>
              <w:pStyle w:val="2"/>
              <w:ind w:left="0" w:leftChars="0" w:firstLine="0" w:firstLineChars="0"/>
              <w:rPr>
                <w:rFonts w:hint="default" w:ascii="Times New Roman" w:hAnsi="Times New Roman" w:eastAsia="宋体" w:cs="Times New Roman"/>
                <w:bCs/>
                <w:color w:val="auto"/>
                <w:spacing w:val="-10"/>
                <w:sz w:val="21"/>
                <w:szCs w:val="21"/>
                <w:lang w:val="en-US" w:eastAsia="zh-CN"/>
              </w:rPr>
            </w:pPr>
          </w:p>
          <w:p>
            <w:pPr>
              <w:pStyle w:val="2"/>
              <w:ind w:left="0" w:leftChars="0" w:firstLine="0" w:firstLineChars="0"/>
              <w:rPr>
                <w:rFonts w:hint="eastAsia" w:ascii="Times New Roman" w:hAnsi="Times New Roman" w:eastAsia="宋体" w:cs="Times New Roman"/>
                <w:bCs/>
                <w:color w:val="auto"/>
                <w:szCs w:val="21"/>
                <w:highlight w:val="none"/>
                <w:lang w:val="en-US" w:eastAsia="zh-CN"/>
              </w:rPr>
            </w:pPr>
          </w:p>
          <w:p>
            <w:pPr>
              <w:numPr>
                <w:ilvl w:val="0"/>
                <w:numId w:val="0"/>
              </w:numPr>
              <w:adjustRightInd w:val="0"/>
              <w:snapToGrid w:val="0"/>
              <w:spacing w:line="360" w:lineRule="auto"/>
              <w:rPr>
                <w:rFonts w:hint="default" w:ascii="Times New Roman" w:hAnsi="Times New Roman" w:eastAsia="宋体" w:cs="Times New Roman"/>
                <w:color w:val="FF0000"/>
                <w:highlight w:val="none"/>
                <w:lang w:eastAsia="zh-CN"/>
              </w:rPr>
            </w:pPr>
          </w:p>
          <w:p>
            <w:pPr>
              <w:pStyle w:val="2"/>
              <w:ind w:left="0" w:leftChars="0" w:firstLine="0" w:firstLineChars="0"/>
              <w:rPr>
                <w:rFonts w:hint="eastAsia" w:eastAsia="宋体"/>
                <w:lang w:val="en-US" w:eastAsia="zh-CN"/>
              </w:rPr>
            </w:pPr>
          </w:p>
          <w:p>
            <w:pPr>
              <w:pStyle w:val="2"/>
              <w:ind w:left="0" w:leftChars="0" w:firstLine="0" w:firstLineChars="0"/>
              <w:rPr>
                <w:rFonts w:hint="default"/>
                <w:lang w:val="en-US"/>
              </w:rPr>
            </w:pP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Cs w:val="21"/>
                <w:vertAlign w:val="baseline"/>
                <w:lang w:val="en-US" w:eastAsia="zh-CN"/>
              </w:rPr>
            </w:pPr>
          </w:p>
        </w:tc>
        <w:tc>
          <w:tcPr>
            <w:tcW w:w="675"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w:t>
            </w:r>
          </w:p>
        </w:tc>
        <w:tc>
          <w:tcPr>
            <w:tcW w:w="661" w:type="dxa"/>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同意</w:t>
            </w:r>
          </w:p>
        </w:tc>
      </w:tr>
    </w:tbl>
    <w:p>
      <w:pPr>
        <w:ind w:left="0" w:leftChars="0" w:firstLine="0" w:firstLineChars="0"/>
        <w:rPr>
          <w:rFonts w:hint="default"/>
          <w:lang w:val="en-US" w:eastAsia="zh-CN"/>
        </w:rPr>
      </w:pPr>
    </w:p>
    <w:sectPr>
      <w:footerReference r:id="rId5" w:type="default"/>
      <w:pgSz w:w="16838" w:h="11906" w:orient="landscape"/>
      <w:pgMar w:top="1587" w:right="2098" w:bottom="1474" w:left="198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4FF83"/>
    <w:multiLevelType w:val="singleLevel"/>
    <w:tmpl w:val="2004FF83"/>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ZGIxMTFmNTY4MDcyMGYxNjRkNTUwY2E2NjhhMGMifQ=="/>
    <w:docVar w:name="KSO_WPS_MARK_KEY" w:val="d4a4b53d-b30b-49ca-8b6d-de6cc8f3a68d"/>
  </w:docVars>
  <w:rsids>
    <w:rsidRoot w:val="00000000"/>
    <w:rsid w:val="018F3084"/>
    <w:rsid w:val="04FD60A3"/>
    <w:rsid w:val="0BFA1AA0"/>
    <w:rsid w:val="0DA744F4"/>
    <w:rsid w:val="1B100B67"/>
    <w:rsid w:val="1DE41D5F"/>
    <w:rsid w:val="26DE2F46"/>
    <w:rsid w:val="2E756A3C"/>
    <w:rsid w:val="351C350A"/>
    <w:rsid w:val="357E191C"/>
    <w:rsid w:val="39473971"/>
    <w:rsid w:val="3DD374F3"/>
    <w:rsid w:val="492A000E"/>
    <w:rsid w:val="4B5F4D8A"/>
    <w:rsid w:val="4B9D2C94"/>
    <w:rsid w:val="531C09BB"/>
    <w:rsid w:val="69AD4598"/>
    <w:rsid w:val="73B76E25"/>
    <w:rsid w:val="75742FE6"/>
    <w:rsid w:val="76463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ind w:firstLine="0" w:firstLineChars="0"/>
      <w:jc w:val="both"/>
    </w:pPr>
    <w:rPr>
      <w:rFonts w:eastAsia="宋体" w:asciiTheme="minorAscii" w:hAnsiTheme="minorAscii"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00" w:lineRule="exact"/>
      <w:ind w:firstLine="570"/>
    </w:pPr>
    <w:rPr>
      <w:sz w:val="28"/>
      <w:szCs w:val="28"/>
    </w:r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customStyle="1" w:styleId="4">
    <w:name w:val="Normal (Web)1"/>
    <w:basedOn w:val="1"/>
    <w:next w:val="5"/>
    <w:qFormat/>
    <w:uiPriority w:val="0"/>
    <w:pPr>
      <w:widowControl/>
      <w:jc w:val="left"/>
    </w:pPr>
    <w:rPr>
      <w:rFonts w:ascii="宋体" w:cs="Times New Roman"/>
      <w:kern w:val="0"/>
      <w:sz w:val="24"/>
      <w:szCs w:val="21"/>
    </w:rPr>
  </w:style>
  <w:style w:type="paragraph" w:customStyle="1" w:styleId="5">
    <w:name w:val="Date1"/>
    <w:basedOn w:val="1"/>
    <w:next w:val="1"/>
    <w:qFormat/>
    <w:uiPriority w:val="0"/>
    <w:pPr>
      <w:ind w:left="2500" w:leftChars="2500"/>
    </w:pPr>
  </w:style>
  <w:style w:type="paragraph" w:styleId="6">
    <w:name w:val="Body Text Indent"/>
    <w:basedOn w:val="1"/>
    <w:next w:val="1"/>
    <w:qFormat/>
    <w:uiPriority w:val="0"/>
    <w:pPr>
      <w:spacing w:after="120"/>
      <w:ind w:left="420" w:leftChars="200"/>
    </w:pPr>
    <w:rPr>
      <w:kern w:val="0"/>
      <w:sz w:val="24"/>
      <w:szCs w:val="20"/>
    </w:rPr>
  </w:style>
  <w:style w:type="paragraph" w:styleId="7">
    <w:name w:val="Plain Text"/>
    <w:basedOn w:val="1"/>
    <w:next w:val="1"/>
    <w:qFormat/>
    <w:uiPriority w:val="0"/>
    <w:rPr>
      <w:rFonts w:hint="eastAsia" w:ascii="宋体" w:hAnsi="Courier New"/>
      <w:kern w:val="0"/>
      <w:sz w:val="20"/>
      <w:szCs w:val="21"/>
    </w:rPr>
  </w:style>
  <w:style w:type="paragraph" w:styleId="8">
    <w:name w:val="List Bullet 5"/>
    <w:basedOn w:val="1"/>
    <w:qFormat/>
    <w:uiPriority w:val="0"/>
    <w:pPr>
      <w:numPr>
        <w:ilvl w:val="0"/>
        <w:numId w:val="1"/>
      </w:numPr>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3"/>
    <w:next w:val="1"/>
    <w:qFormat/>
    <w:uiPriority w:val="0"/>
    <w:pPr>
      <w:ind w:firstLine="420" w:firstLineChars="100"/>
    </w:pPr>
    <w:rPr>
      <w:rFonts w:ascii="Times New Roman" w:hAnsi="Times New Roman"/>
      <w:szCs w:val="24"/>
    </w:rPr>
  </w:style>
  <w:style w:type="paragraph" w:styleId="12">
    <w:name w:val="Body Text First Indent 2"/>
    <w:basedOn w:val="6"/>
    <w:next w:val="11"/>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styleId="17">
    <w:name w:val="annotation reference"/>
    <w:basedOn w:val="15"/>
    <w:qFormat/>
    <w:uiPriority w:val="0"/>
    <w:rPr>
      <w:sz w:val="21"/>
      <w:szCs w:val="21"/>
    </w:rPr>
  </w:style>
  <w:style w:type="paragraph" w:customStyle="1" w:styleId="18">
    <w:name w:val="Default"/>
    <w:basedOn w:val="19"/>
    <w:next w:val="7"/>
    <w:unhideWhenUsed/>
    <w:qFormat/>
    <w:uiPriority w:val="99"/>
    <w:pPr>
      <w:widowControl w:val="0"/>
      <w:autoSpaceDE w:val="0"/>
      <w:autoSpaceDN w:val="0"/>
      <w:adjustRightInd w:val="0"/>
    </w:pPr>
    <w:rPr>
      <w:rFonts w:hint="eastAsia" w:ascii="Times New Roman" w:hAnsi="Times New Roman" w:eastAsia="Times New Roman" w:cs="Times New Roman"/>
      <w:color w:val="000000"/>
      <w:sz w:val="24"/>
      <w:szCs w:val="22"/>
      <w:lang w:val="en-US" w:eastAsia="zh-CN" w:bidi="ar-SA"/>
    </w:rPr>
  </w:style>
  <w:style w:type="paragraph" w:customStyle="1" w:styleId="19">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20">
    <w:name w:val="List Paragraph"/>
    <w:basedOn w:val="1"/>
    <w:qFormat/>
    <w:uiPriority w:val="34"/>
    <w:pPr>
      <w:ind w:firstLine="420" w:firstLineChars="200"/>
    </w:pPr>
  </w:style>
  <w:style w:type="paragraph" w:customStyle="1" w:styleId="21">
    <w:name w:val="11111"/>
    <w:basedOn w:val="1"/>
    <w:next w:val="1"/>
    <w:qFormat/>
    <w:uiPriority w:val="0"/>
    <w:pPr>
      <w:spacing w:line="360" w:lineRule="auto"/>
      <w:ind w:firstLine="200" w:firstLineChars="200"/>
    </w:pPr>
    <w:rPr>
      <w:rFonts w:hAnsi="宋体" w:cs="宋体"/>
    </w:rPr>
  </w:style>
  <w:style w:type="paragraph" w:customStyle="1" w:styleId="22">
    <w:name w:val="首行缩进表格正文"/>
    <w:basedOn w:val="1"/>
    <w:qFormat/>
    <w:uiPriority w:val="0"/>
    <w:pPr>
      <w:spacing w:line="360" w:lineRule="auto"/>
      <w:ind w:firstLine="720" w:firstLineChars="200"/>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1480</Words>
  <Characters>1611</Characters>
  <Lines>0</Lines>
  <Paragraphs>0</Paragraphs>
  <TotalTime>45</TotalTime>
  <ScaleCrop>false</ScaleCrop>
  <LinksUpToDate>false</LinksUpToDate>
  <CharactersWithSpaces>1622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2024-09-05T00:50:00Z</dcterms:created>
  <dc:creator>Administrator</dc:creator>
  <cp:lastModifiedBy>周航</cp:lastModifiedBy>
  <cp:lastPrinted>2025-09-22T02:15:00Z</cp:lastPrinted>
  <dcterms:modified xsi:type="dcterms:W3CDTF">2026-06-05T08:33:12Z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8C362B693F0145FB8A0506C0D3148208</vt:lpwstr>
  </property>
</Properties>
</file>