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color w:val="943634"/>
          <w:sz w:val="48"/>
          <w:szCs w:val="48"/>
        </w:rPr>
      </w:pPr>
    </w:p>
    <w:p>
      <w:pPr>
        <w:jc w:val="center"/>
        <w:rPr>
          <w:rFonts w:hint="eastAsia"/>
          <w:b/>
          <w:bCs/>
          <w:color w:val="943634"/>
          <w:sz w:val="48"/>
          <w:szCs w:val="48"/>
        </w:rPr>
      </w:pPr>
      <w:r>
        <w:rPr>
          <w:b/>
          <w:bCs/>
          <w:color w:val="943634"/>
          <w:sz w:val="48"/>
          <w:szCs w:val="48"/>
        </w:rPr>
        <w:t xml:space="preserve"> </w:t>
      </w:r>
    </w:p>
    <w:p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 </w:t>
      </w:r>
    </w:p>
    <w:p>
      <w:pPr>
        <w:jc w:val="center"/>
        <w:rPr>
          <w:b/>
          <w:bCs/>
          <w:sz w:val="48"/>
          <w:szCs w:val="48"/>
        </w:rPr>
      </w:pPr>
      <w:r>
        <w:rPr>
          <w:rFonts w:hint="eastAsia" w:ascii="宋体" w:hAnsi="宋体"/>
          <w:b/>
          <w:bCs/>
          <w:sz w:val="48"/>
          <w:szCs w:val="48"/>
        </w:rPr>
        <w:t>建设项目环境影响报告书（表）</w:t>
      </w:r>
    </w:p>
    <w:p>
      <w:pPr>
        <w:jc w:val="center"/>
        <w:rPr>
          <w:rFonts w:hint="eastAsia"/>
          <w:b/>
          <w:bCs/>
          <w:sz w:val="48"/>
          <w:szCs w:val="48"/>
        </w:rPr>
      </w:pPr>
      <w:r>
        <w:rPr>
          <w:rFonts w:hint="eastAsia" w:ascii="宋体" w:hAnsi="宋体"/>
          <w:b/>
          <w:bCs/>
          <w:sz w:val="48"/>
          <w:szCs w:val="48"/>
        </w:rPr>
        <w:t>评审（考核）意见表</w:t>
      </w:r>
    </w:p>
    <w:p>
      <w:pPr>
        <w:ind w:firstLine="361" w:firstLineChars="100"/>
        <w:jc w:val="center"/>
        <w:rPr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（试</w:t>
      </w: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 w:ascii="宋体" w:hAnsi="宋体"/>
          <w:b/>
          <w:bCs/>
          <w:sz w:val="36"/>
          <w:szCs w:val="36"/>
        </w:rPr>
        <w:t>行）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autoSpaceDE w:val="0"/>
        <w:autoSpaceDN w:val="0"/>
        <w:adjustRightInd w:val="0"/>
        <w:ind w:firstLine="960" w:firstLineChars="300"/>
        <w:rPr>
          <w:kern w:val="0"/>
          <w:sz w:val="24"/>
          <w:szCs w:val="24"/>
        </w:rPr>
      </w:pPr>
      <w:r>
        <w:rPr>
          <w:rFonts w:hint="eastAsia" w:ascii="宋体" w:hAnsi="宋体"/>
          <w:sz w:val="32"/>
          <w:szCs w:val="32"/>
        </w:rPr>
        <w:t>环评单位：</w:t>
      </w:r>
      <w:r>
        <w:rPr>
          <w:rFonts w:hint="eastAsia" w:ascii="宋体" w:hAnsi="宋体"/>
          <w:kern w:val="0"/>
          <w:sz w:val="32"/>
          <w:szCs w:val="32"/>
          <w:u w:val="single"/>
        </w:rPr>
        <w:t>黑龙江山人环保科技有限公司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</w:rPr>
        <w:t xml:space="preserve">           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</w:t>
      </w:r>
    </w:p>
    <w:p>
      <w:pPr>
        <w:autoSpaceDE w:val="0"/>
        <w:autoSpaceDN w:val="0"/>
        <w:adjustRightInd w:val="0"/>
        <w:ind w:left="958" w:leftChars="456"/>
        <w:rPr>
          <w:rFonts w:hint="eastAsia" w:ascii="仿宋_GB2312"/>
          <w:kern w:val="0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环评单位承担项目名称：</w:t>
      </w:r>
      <w:r>
        <w:rPr>
          <w:rFonts w:hint="eastAsia" w:ascii="宋体" w:hAnsi="宋体"/>
          <w:sz w:val="32"/>
          <w:szCs w:val="32"/>
          <w:u w:val="single"/>
        </w:rPr>
        <w:t>伊春市祺达食品有限责任公司</w:t>
      </w:r>
      <w:r>
        <w:rPr>
          <w:rFonts w:ascii="宋体" w:hAnsi="宋体"/>
          <w:sz w:val="30"/>
          <w:szCs w:val="30"/>
          <w:u w:val="single"/>
        </w:rPr>
        <w:t>建设项目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</w:p>
    <w:p>
      <w:pPr>
        <w:ind w:firstLine="320" w:firstLineChars="100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 xml:space="preserve">    评审（考核）人：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曲超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</w:t>
      </w:r>
    </w:p>
    <w:p>
      <w:pPr>
        <w:ind w:firstLine="320" w:firstLineChars="1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职务、职称：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高级</w:t>
      </w:r>
      <w:r>
        <w:rPr>
          <w:rFonts w:hint="eastAsia" w:ascii="宋体" w:hAnsi="宋体"/>
          <w:sz w:val="32"/>
          <w:szCs w:val="32"/>
          <w:u w:val="single"/>
        </w:rPr>
        <w:t xml:space="preserve">工程师                                 </w:t>
      </w:r>
      <w:r>
        <w:rPr>
          <w:rFonts w:hint="eastAsia" w:ascii="宋体" w:hAnsi="宋体"/>
          <w:sz w:val="32"/>
          <w:szCs w:val="32"/>
        </w:rPr>
        <w:t xml:space="preserve">               </w:t>
      </w:r>
    </w:p>
    <w:p>
      <w:pPr>
        <w:ind w:firstLine="960" w:firstLineChars="300"/>
        <w:rPr>
          <w:rFonts w:hint="eastAsia"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所在单位：</w:t>
      </w:r>
      <w:r>
        <w:rPr>
          <w:rFonts w:hint="eastAsia" w:ascii="宋体" w:hAnsi="宋体"/>
          <w:sz w:val="32"/>
          <w:szCs w:val="32"/>
          <w:u w:val="single"/>
        </w:rPr>
        <w:t xml:space="preserve"> 伊春市生态环境局                                   </w:t>
      </w:r>
    </w:p>
    <w:p>
      <w:pPr>
        <w:jc w:val="center"/>
        <w:rPr>
          <w:rFonts w:hint="eastAsia" w:ascii="宋体" w:hAnsi="宋体"/>
          <w:sz w:val="32"/>
          <w:szCs w:val="32"/>
        </w:rPr>
      </w:pPr>
    </w:p>
    <w:p>
      <w:pPr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评审日期：2023年4月28日</w:t>
      </w:r>
    </w:p>
    <w:p>
      <w:pPr>
        <w:rPr>
          <w:rFonts w:hint="eastAsia" w:ascii="宋体" w:hAnsi="宋体"/>
          <w:color w:val="943634"/>
          <w:sz w:val="32"/>
          <w:szCs w:val="32"/>
        </w:rPr>
      </w:pPr>
      <w:r>
        <w:rPr>
          <w:rFonts w:hint="eastAsia" w:ascii="宋体" w:hAnsi="宋体"/>
          <w:color w:val="943634"/>
          <w:sz w:val="32"/>
          <w:szCs w:val="32"/>
        </w:rPr>
        <w:t xml:space="preserve"> </w:t>
      </w:r>
    </w:p>
    <w:tbl>
      <w:tblPr>
        <w:tblStyle w:val="3"/>
        <w:tblW w:w="8533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0"/>
        <w:gridCol w:w="205"/>
        <w:gridCol w:w="576"/>
        <w:gridCol w:w="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ind w:firstLine="720" w:firstLineChars="3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《建设项目环境影响评价资质管理办法》（环境保护部 第36号令）</w:t>
            </w:r>
            <w:r>
              <w:rPr>
                <w:rFonts w:hint="eastAsia"/>
                <w:sz w:val="24"/>
                <w:szCs w:val="24"/>
              </w:rPr>
              <w:t>环评报告是否存在以下规定情形之一：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1. </w:t>
            </w:r>
            <w:r>
              <w:rPr>
                <w:rFonts w:hint="eastAsia" w:ascii="宋体" w:hAnsi="宋体"/>
                <w:sz w:val="24"/>
                <w:szCs w:val="24"/>
              </w:rPr>
              <w:t>建设项目工程分析或者引用的现状监测数据错误的；</w:t>
            </w:r>
          </w:p>
        </w:tc>
        <w:tc>
          <w:tcPr>
            <w:tcW w:w="14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2. </w:t>
            </w:r>
            <w:r>
              <w:rPr>
                <w:rFonts w:hint="eastAsia" w:ascii="宋体" w:hAnsi="宋体"/>
                <w:sz w:val="24"/>
                <w:szCs w:val="24"/>
              </w:rPr>
              <w:t>主要环境保护目标或者主要评价因子遗漏的；</w:t>
            </w:r>
          </w:p>
        </w:tc>
        <w:tc>
          <w:tcPr>
            <w:tcW w:w="14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3. </w:t>
            </w:r>
            <w:r>
              <w:rPr>
                <w:rFonts w:hint="eastAsia" w:ascii="宋体" w:hAnsi="宋体"/>
                <w:sz w:val="24"/>
                <w:szCs w:val="24"/>
              </w:rPr>
              <w:t>环境影响评价工作等级或者环境标准适用错误的；</w:t>
            </w:r>
          </w:p>
        </w:tc>
        <w:tc>
          <w:tcPr>
            <w:tcW w:w="14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4. </w:t>
            </w:r>
            <w:r>
              <w:rPr>
                <w:rFonts w:hint="eastAsia" w:ascii="宋体" w:hAnsi="宋体"/>
                <w:sz w:val="24"/>
                <w:szCs w:val="24"/>
              </w:rPr>
              <w:t>环境影响预测与评价方法错误的；</w:t>
            </w:r>
          </w:p>
        </w:tc>
        <w:tc>
          <w:tcPr>
            <w:tcW w:w="14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5. </w:t>
            </w:r>
            <w:r>
              <w:rPr>
                <w:rFonts w:hint="eastAsia" w:ascii="宋体" w:hAnsi="宋体"/>
                <w:sz w:val="24"/>
                <w:szCs w:val="24"/>
              </w:rPr>
              <w:t>主要环境保护措施缺失的；</w:t>
            </w:r>
          </w:p>
        </w:tc>
        <w:tc>
          <w:tcPr>
            <w:tcW w:w="14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6.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有以上规定情形，致使建设项目选址、选线不当或者环境影响评价结论错误的。</w:t>
            </w:r>
          </w:p>
        </w:tc>
        <w:tc>
          <w:tcPr>
            <w:tcW w:w="14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8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cs="仿宋"/>
                <w:kern w:val="0"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总体结论：</w:t>
            </w:r>
            <w:r>
              <w:rPr>
                <w:rFonts w:ascii="仿宋_GB2312" w:cs="仿宋"/>
                <w:kern w:val="0"/>
                <w:sz w:val="32"/>
                <w:szCs w:val="32"/>
              </w:rPr>
              <w:t>该报告表结构编制较规范，主要工程建设内容，预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仿宋_GB2312" w:cs="仿宋"/>
                <w:kern w:val="0"/>
                <w:sz w:val="32"/>
                <w:szCs w:val="32"/>
              </w:rPr>
            </w:pPr>
            <w:r>
              <w:rPr>
                <w:rFonts w:ascii="仿宋_GB2312" w:cs="仿宋"/>
                <w:kern w:val="0"/>
                <w:sz w:val="32"/>
                <w:szCs w:val="32"/>
              </w:rPr>
              <w:t>测及评价方法基本正确，经补充修改后可做为环境管理的依</w:t>
            </w:r>
          </w:p>
          <w:p>
            <w:pPr>
              <w:spacing w:line="480" w:lineRule="auto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cs="仿宋"/>
                <w:kern w:val="0"/>
                <w:sz w:val="32"/>
                <w:szCs w:val="32"/>
              </w:rPr>
              <w:t>据。</w:t>
            </w:r>
          </w:p>
          <w:p>
            <w:pPr>
              <w:spacing w:line="480" w:lineRule="auto"/>
              <w:rPr>
                <w:b/>
                <w:bCs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48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评  审  内  容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满 分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扣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1. </w:t>
            </w:r>
            <w:r>
              <w:rPr>
                <w:rFonts w:hint="eastAsia" w:ascii="宋体" w:hAnsi="宋体"/>
                <w:sz w:val="24"/>
                <w:szCs w:val="24"/>
              </w:rPr>
              <w:t>相关环境保护的法律法规、标准、政策、导则、规范、相关规划及规划环评符合性论述是否全面、清晰（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分）；评价工作等级、评价范围的确定依据是否充分、合理，评价标准确定依据是否可靠（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分）；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2. </w:t>
            </w:r>
            <w:r>
              <w:rPr>
                <w:rFonts w:hint="eastAsia" w:ascii="宋体" w:hAnsi="宋体"/>
                <w:sz w:val="24"/>
                <w:szCs w:val="24"/>
              </w:rPr>
              <w:t>工程组成是否完整（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分）；工程分析是否全面并体现工程特点，建设、运行及服务期满后不同工况下的环境影响及风险特征分析是否全面、准确，特征污染物筛选是否有遗漏（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分）；评价因子筛选及污染物源强核算是否准确（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分）；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3. </w:t>
            </w:r>
            <w:r>
              <w:rPr>
                <w:rFonts w:hint="eastAsia" w:ascii="宋体" w:hAnsi="宋体"/>
                <w:sz w:val="24"/>
                <w:szCs w:val="24"/>
              </w:rPr>
              <w:t>环境保护目标调查是否全面、详细（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分）；环境现状调查是否详实，主要环境问题是否阐述清楚，利用现有资料的有效性判断是否准确，现状监测布点是否具有代表性，监测因子是否全面，监测时间、频次是否合理（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分）；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4. </w:t>
            </w:r>
            <w:r>
              <w:rPr>
                <w:rFonts w:hint="eastAsia" w:ascii="宋体" w:hAnsi="宋体"/>
                <w:sz w:val="24"/>
                <w:szCs w:val="24"/>
              </w:rPr>
              <w:t>项目选址、选线环境合理性论述是否充分；建设方案的环境比选是否全面；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left"/>
              <w:rPr>
                <w:color w:val="943634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5. </w:t>
            </w:r>
            <w:r>
              <w:rPr>
                <w:rFonts w:hint="eastAsia" w:ascii="宋体" w:hAnsi="宋体"/>
                <w:sz w:val="24"/>
                <w:szCs w:val="24"/>
              </w:rPr>
              <w:t>预测内容是否全面，预测方法、模式及参数的选用是否科学、合理，影响预测结果是否全面、可信；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6. </w:t>
            </w:r>
            <w:r>
              <w:rPr>
                <w:rFonts w:hint="eastAsia" w:ascii="宋体" w:hAnsi="宋体"/>
                <w:sz w:val="24"/>
                <w:szCs w:val="24"/>
              </w:rPr>
              <w:t>环境保护、环境风险防范措施是否全面；措施的技术可行性、经济合理性、长期稳定运行和达标排放的可靠性、满足环境质量改善和排污许可要求的可行性、生态保护和恢复效果的论证是否充分；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7. </w:t>
            </w:r>
            <w:r>
              <w:rPr>
                <w:rFonts w:hint="eastAsia" w:ascii="宋体" w:hAnsi="宋体"/>
                <w:sz w:val="24"/>
                <w:szCs w:val="24"/>
              </w:rPr>
              <w:t>环境影响经济损益分析是否充分；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8. </w:t>
            </w:r>
            <w:r>
              <w:rPr>
                <w:rFonts w:hint="eastAsia" w:ascii="宋体" w:hAnsi="宋体"/>
                <w:sz w:val="24"/>
                <w:szCs w:val="24"/>
              </w:rPr>
              <w:t>给出污染物排放清单，明确污染物排放的管理要求，并建立日常环境管理制度（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分）；给出污染源监测计划及环境质量监测计划（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分）；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9. </w:t>
            </w:r>
            <w:r>
              <w:rPr>
                <w:rFonts w:hint="eastAsia" w:ascii="宋体" w:hAnsi="宋体"/>
                <w:sz w:val="24"/>
                <w:szCs w:val="24"/>
              </w:rPr>
              <w:t>环境影响评价结论是否明确（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分）；环评文件是否规范（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分）；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7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10.</w:t>
            </w:r>
            <w:r>
              <w:rPr>
                <w:rFonts w:hint="eastAsia" w:ascii="宋体" w:hAnsi="宋体"/>
                <w:sz w:val="24"/>
                <w:szCs w:val="24"/>
              </w:rPr>
              <w:t>项目负责人对环评文件的内容是否熟悉。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总计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100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得分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8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</w:pPr>
            <w:r>
              <w:rPr>
                <w:rFonts w:hint="eastAsia"/>
                <w:sz w:val="24"/>
                <w:szCs w:val="24"/>
              </w:rPr>
              <w:t>注：“直接通过”项目90</w:t>
            </w:r>
            <w:r>
              <w:rPr>
                <w:rFonts w:hint="eastAsia" w:ascii="宋体" w:hAnsi="宋体"/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100</w:t>
            </w:r>
            <w:r>
              <w:rPr>
                <w:rFonts w:hint="eastAsia" w:ascii="宋体" w:hAnsi="宋体"/>
                <w:sz w:val="24"/>
                <w:szCs w:val="24"/>
              </w:rPr>
              <w:t>分；“需修改后上报”项目</w:t>
            </w:r>
            <w:r>
              <w:rPr>
                <w:rFonts w:hint="eastAsia"/>
                <w:sz w:val="24"/>
                <w:szCs w:val="24"/>
              </w:rPr>
              <w:t>60-89</w:t>
            </w:r>
            <w:r>
              <w:rPr>
                <w:rFonts w:hint="eastAsia" w:ascii="宋体" w:hAnsi="宋体"/>
                <w:sz w:val="24"/>
                <w:szCs w:val="24"/>
              </w:rPr>
              <w:t>分；“不予通过”项目</w:t>
            </w:r>
            <w:r>
              <w:rPr>
                <w:rFonts w:hint="eastAsia"/>
                <w:sz w:val="24"/>
                <w:szCs w:val="24"/>
              </w:rPr>
              <w:t>60</w:t>
            </w:r>
            <w:r>
              <w:rPr>
                <w:rFonts w:hint="eastAsia" w:ascii="宋体" w:hAnsi="宋体"/>
                <w:sz w:val="24"/>
                <w:szCs w:val="24"/>
              </w:rPr>
              <w:t>分以下。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3" w:hRule="atLeast"/>
        </w:trPr>
        <w:tc>
          <w:tcPr>
            <w:tcW w:w="8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评审考核人对报告表编制的总体评价：</w:t>
            </w:r>
          </w:p>
          <w:p>
            <w:pPr>
              <w:autoSpaceDE w:val="0"/>
              <w:autoSpaceDN w:val="0"/>
              <w:adjustRightInd w:val="0"/>
              <w:snapToGrid w:val="0"/>
              <w:spacing w:line="580" w:lineRule="exact"/>
              <w:ind w:firstLine="640" w:firstLineChars="200"/>
              <w:jc w:val="left"/>
              <w:rPr>
                <w:rFonts w:hint="eastAsia" w:ascii="仿宋_GB2312" w:cs="仿宋"/>
                <w:kern w:val="0"/>
                <w:sz w:val="32"/>
                <w:szCs w:val="32"/>
              </w:rPr>
            </w:pPr>
            <w:r>
              <w:rPr>
                <w:rFonts w:ascii="仿宋_GB2312" w:cs="仿宋"/>
                <w:kern w:val="0"/>
                <w:sz w:val="32"/>
                <w:szCs w:val="32"/>
              </w:rPr>
              <w:t>报告表专家评审修改意见：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580" w:lineRule="exact"/>
              <w:ind w:firstLine="640" w:firstLineChars="200"/>
              <w:jc w:val="left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要明确</w:t>
            </w: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“未批先建”是否需要进行处罚。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580" w:lineRule="exact"/>
              <w:ind w:firstLine="640" w:firstLineChars="200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补充与排污许可相衔接内容。</w:t>
            </w:r>
          </w:p>
          <w:p>
            <w:pPr>
              <w:autoSpaceDE w:val="0"/>
              <w:autoSpaceDN w:val="0"/>
              <w:adjustRightInd w:val="0"/>
              <w:snapToGrid w:val="0"/>
              <w:spacing w:before="0" w:line="580" w:lineRule="exact"/>
              <w:ind w:left="640"/>
              <w:jc w:val="left"/>
              <w:rPr>
                <w:rFonts w:ascii="仿宋_GB2312" w:cs="仿宋"/>
                <w:kern w:val="0"/>
                <w:sz w:val="32"/>
                <w:szCs w:val="32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before="0" w:line="580" w:lineRule="exact"/>
              <w:ind w:left="640"/>
              <w:jc w:val="left"/>
              <w:rPr>
                <w:rFonts w:ascii="仿宋_GB2312" w:cs="仿宋"/>
                <w:kern w:val="0"/>
                <w:sz w:val="32"/>
                <w:szCs w:val="32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before="0" w:line="240" w:lineRule="auto"/>
              <w:ind w:left="640"/>
              <w:jc w:val="left"/>
              <w:rPr>
                <w:rFonts w:hint="default" w:ascii="仿宋_GB2312" w:eastAsia="宋体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cs="仿宋"/>
                <w:kern w:val="0"/>
                <w:sz w:val="32"/>
                <w:szCs w:val="32"/>
                <w:lang w:val="en-US" w:eastAsia="zh-CN"/>
              </w:rPr>
              <w:t xml:space="preserve">                               </w:t>
            </w:r>
            <w:r>
              <w:rPr>
                <w:rFonts w:hint="default" w:ascii="仿宋_GB2312" w:eastAsia="宋体" w:cs="仿宋"/>
                <w:kern w:val="0"/>
                <w:sz w:val="32"/>
                <w:szCs w:val="32"/>
                <w:lang w:val="en-US" w:eastAsia="zh-CN"/>
              </w:rPr>
              <w:drawing>
                <wp:inline distT="0" distB="0" distL="114300" distR="114300">
                  <wp:extent cx="1211580" cy="586740"/>
                  <wp:effectExtent l="0" t="0" r="7620" b="3810"/>
                  <wp:docPr id="1" name="图片 1" descr="曲超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曲超签名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58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40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81FCB"/>
    <w:multiLevelType w:val="multilevel"/>
    <w:tmpl w:val="3E481FCB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730E"/>
    <w:rsid w:val="0013730E"/>
    <w:rsid w:val="00B53EBB"/>
    <w:rsid w:val="7C79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before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211</Words>
  <Characters>1209</Characters>
  <Lines>10</Lines>
  <Paragraphs>2</Paragraphs>
  <TotalTime>13</TotalTime>
  <ScaleCrop>false</ScaleCrop>
  <LinksUpToDate>false</LinksUpToDate>
  <CharactersWithSpaces>1418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2023-04-30T07:57:00Z</dcterms:created>
  <dc:creator>MS</dc:creator>
  <cp:lastModifiedBy>Administrator</cp:lastModifiedBy>
  <dcterms:modified xsi:type="dcterms:W3CDTF">2023-04-30T12:26:08Z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