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b/>
          <w:bCs/>
          <w:color w:val="000000" w:themeColor="text1"/>
          <w:sz w:val="24"/>
          <w:szCs w:val="24"/>
          <w14:textFill>
            <w14:solidFill>
              <w14:schemeClr w14:val="tx1"/>
            </w14:solidFill>
          </w14:textFill>
        </w:rPr>
      </w:pPr>
      <w:r>
        <w:rPr>
          <w:rFonts w:hint="eastAsia" w:ascii="Times New Roman" w:hAnsi="Times New Roman" w:eastAsia="宋体" w:cs="Times New Roman"/>
          <w:b/>
          <w:bCs/>
          <w:color w:val="000000" w:themeColor="text1"/>
          <w:sz w:val="24"/>
          <w:szCs w:val="24"/>
          <w14:textFill>
            <w14:solidFill>
              <w14:schemeClr w14:val="tx1"/>
            </w14:solidFill>
          </w14:textFill>
        </w:rPr>
        <w:t>（</w:t>
      </w:r>
      <w:r>
        <w:rPr>
          <w:rFonts w:hint="eastAsia" w:ascii="Times New Roman" w:hAnsi="Times New Roman" w:eastAsia="宋体" w:cs="Times New Roman"/>
          <w:b/>
          <w:bCs/>
          <w:color w:val="000000" w:themeColor="text1"/>
          <w:sz w:val="24"/>
          <w:szCs w:val="24"/>
          <w:lang w:eastAsia="zh-CN"/>
          <w14:textFill>
            <w14:solidFill>
              <w14:schemeClr w14:val="tx1"/>
            </w14:solidFill>
          </w14:textFill>
        </w:rPr>
        <w:t>伊春市祺达食品有限责任公司建设项目</w:t>
      </w:r>
      <w:r>
        <w:rPr>
          <w:rFonts w:hint="eastAsia" w:ascii="Times New Roman" w:hAnsi="Times New Roman" w:eastAsia="宋体" w:cs="Times New Roman"/>
          <w:b/>
          <w:bCs/>
          <w:color w:val="000000" w:themeColor="text1"/>
          <w:sz w:val="24"/>
          <w:szCs w:val="24"/>
          <w14:textFill>
            <w14:solidFill>
              <w14:schemeClr w14:val="tx1"/>
            </w14:solidFill>
          </w14:textFill>
        </w:rPr>
        <w:t>）</w:t>
      </w:r>
    </w:p>
    <w:p>
      <w:pPr>
        <w:jc w:val="center"/>
        <w:rPr>
          <w:rFonts w:hint="eastAsia" w:ascii="Times New Roman" w:hAnsi="Times New Roman" w:eastAsia="宋体" w:cs="Times New Roman"/>
          <w:b/>
          <w:bCs/>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24"/>
          <w14:textFill>
            <w14:solidFill>
              <w14:schemeClr w14:val="tx1"/>
            </w14:solidFill>
          </w14:textFill>
        </w:rPr>
        <w:t>专家意见修改清单-</w:t>
      </w:r>
      <w:r>
        <w:rPr>
          <w:rFonts w:ascii="Times New Roman" w:hAnsi="Times New Roman" w:eastAsia="宋体" w:cs="Times New Roman"/>
          <w:b/>
          <w:bCs/>
          <w:color w:val="000000" w:themeColor="text1"/>
          <w:sz w:val="24"/>
          <w:szCs w:val="24"/>
          <w14:textFill>
            <w14:solidFill>
              <w14:schemeClr w14:val="tx1"/>
            </w14:solidFill>
          </w14:textFill>
        </w:rPr>
        <w:t>-</w:t>
      </w:r>
      <w:r>
        <w:rPr>
          <w:rFonts w:hint="eastAsia" w:ascii="Times New Roman" w:hAnsi="Times New Roman" w:eastAsia="宋体" w:cs="Times New Roman"/>
          <w:b/>
          <w:bCs/>
          <w:color w:val="000000" w:themeColor="text1"/>
          <w:sz w:val="24"/>
          <w:szCs w:val="24"/>
          <w:lang w:eastAsia="zh-CN"/>
          <w14:textFill>
            <w14:solidFill>
              <w14:schemeClr w14:val="tx1"/>
            </w14:solidFill>
          </w14:textFill>
        </w:rPr>
        <w:t>曲超</w:t>
      </w:r>
    </w:p>
    <w:tbl>
      <w:tblPr>
        <w:tblStyle w:val="18"/>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4261"/>
        <w:gridCol w:w="42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61" w:type="dxa"/>
            <w:vAlign w:val="center"/>
          </w:tcPr>
          <w:p>
            <w:pPr>
              <w:keepNext w:val="0"/>
              <w:keepLines w:val="0"/>
              <w:pageBreakBefore w:val="0"/>
              <w:kinsoku/>
              <w:wordWrap/>
              <w:overflowPunct/>
              <w:topLinePunct w:val="0"/>
              <w:autoSpaceDE/>
              <w:autoSpaceDN/>
              <w:bidi w:val="0"/>
              <w:adjustRightInd w:val="0"/>
              <w:snapToGrid w:val="0"/>
              <w:spacing w:beforeAutospacing="0" w:afterAutospacing="0"/>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专家意见</w:t>
            </w:r>
          </w:p>
        </w:tc>
        <w:tc>
          <w:tcPr>
            <w:tcW w:w="4261" w:type="dxa"/>
            <w:vAlign w:val="center"/>
          </w:tcPr>
          <w:p>
            <w:pPr>
              <w:keepNext w:val="0"/>
              <w:keepLines w:val="0"/>
              <w:pageBreakBefore w:val="0"/>
              <w:kinsoku/>
              <w:wordWrap/>
              <w:overflowPunct/>
              <w:topLinePunct w:val="0"/>
              <w:autoSpaceDE/>
              <w:autoSpaceDN/>
              <w:bidi w:val="0"/>
              <w:adjustRightInd w:val="0"/>
              <w:snapToGrid w:val="0"/>
              <w:spacing w:beforeAutospacing="0" w:afterAutospacing="0"/>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修改意见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61" w:type="dxa"/>
            <w:vAlign w:val="center"/>
          </w:tcPr>
          <w:p>
            <w:pPr>
              <w:keepNext w:val="0"/>
              <w:keepLines w:val="0"/>
              <w:pageBreakBefore w:val="0"/>
              <w:kinsoku/>
              <w:wordWrap/>
              <w:overflowPunct/>
              <w:topLinePunct w:val="0"/>
              <w:autoSpaceDE/>
              <w:autoSpaceDN/>
              <w:bidi w:val="0"/>
              <w:adjustRightInd w:val="0"/>
              <w:snapToGrid w:val="0"/>
              <w:spacing w:beforeAutospacing="0" w:afterAutospacing="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要明确“未批先建”是否需要进行处罚。</w:t>
            </w:r>
          </w:p>
        </w:tc>
        <w:tc>
          <w:tcPr>
            <w:tcW w:w="4261" w:type="dxa"/>
            <w:vAlign w:val="center"/>
          </w:tcPr>
          <w:p>
            <w:pPr>
              <w:keepNext w:val="0"/>
              <w:keepLines w:val="0"/>
              <w:pageBreakBefore w:val="0"/>
              <w:kinsoku/>
              <w:wordWrap/>
              <w:overflowPunct/>
              <w:topLinePunct w:val="0"/>
              <w:autoSpaceDE/>
              <w:autoSpaceDN/>
              <w:bidi w:val="0"/>
              <w:adjustRightInd w:val="0"/>
              <w:snapToGrid w:val="0"/>
              <w:spacing w:beforeAutospacing="0" w:afterAutospacing="0"/>
              <w:textAlignment w:val="auto"/>
              <w:rPr>
                <w:rFonts w:hint="default"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本项目2005年建成，根据《生态环境部关于建设项目</w:t>
            </w:r>
            <w:bookmarkStart w:id="0" w:name="_GoBack"/>
            <w:bookmarkEnd w:id="0"/>
            <w:r>
              <w:rPr>
                <w:rFonts w:hint="eastAsia" w:ascii="宋体" w:hAnsi="宋体" w:eastAsia="宋体" w:cs="宋体"/>
                <w:color w:val="000000" w:themeColor="text1"/>
                <w:sz w:val="24"/>
                <w:szCs w:val="24"/>
                <w:lang w:val="en-US" w:eastAsia="zh-CN"/>
                <w14:textFill>
                  <w14:solidFill>
                    <w14:schemeClr w14:val="tx1"/>
                  </w14:solidFill>
                </w14:textFill>
              </w:rPr>
              <w:t>“未批先建”违法行为法律适用问题的意见》（环政法函〔2018〕31号），本项目属于“未批先建”的违法行为自建设行为终了之日起二年内未被发现的情形，应免予行政处罚的，建设单位主动报批环境影响报告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61" w:type="dxa"/>
            <w:vAlign w:val="center"/>
          </w:tcPr>
          <w:p>
            <w:pPr>
              <w:keepNext w:val="0"/>
              <w:keepLines w:val="0"/>
              <w:pageBreakBefore w:val="0"/>
              <w:kinsoku/>
              <w:wordWrap/>
              <w:overflowPunct/>
              <w:topLinePunct w:val="0"/>
              <w:autoSpaceDE/>
              <w:autoSpaceDN/>
              <w:bidi w:val="0"/>
              <w:adjustRightInd w:val="0"/>
              <w:snapToGrid w:val="0"/>
              <w:spacing w:beforeAutospacing="0" w:afterAutospacing="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补充与排污许可相衔接内容。</w:t>
            </w:r>
          </w:p>
        </w:tc>
        <w:tc>
          <w:tcPr>
            <w:tcW w:w="4261" w:type="dxa"/>
            <w:vAlign w:val="center"/>
          </w:tcPr>
          <w:p>
            <w:pPr>
              <w:keepNext w:val="0"/>
              <w:keepLines w:val="0"/>
              <w:pageBreakBefore w:val="0"/>
              <w:kinsoku/>
              <w:wordWrap/>
              <w:overflowPunct/>
              <w:topLinePunct w:val="0"/>
              <w:autoSpaceDE/>
              <w:autoSpaceDN/>
              <w:bidi w:val="0"/>
              <w:adjustRightInd w:val="0"/>
              <w:snapToGrid w:val="0"/>
              <w:spacing w:beforeAutospacing="0" w:afterAutospacing="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已补充。P8</w:t>
            </w:r>
          </w:p>
        </w:tc>
      </w:tr>
    </w:tbl>
    <w:p>
      <w:pPr>
        <w:rPr>
          <w:rFonts w:ascii="Times New Roman" w:hAnsi="Times New Roman" w:eastAsia="宋体" w:cs="Times New Roman"/>
          <w:color w:val="000000" w:themeColor="text1"/>
          <w14:textFill>
            <w14:solidFill>
              <w14:schemeClr w14:val="tx1"/>
            </w14:solidFill>
          </w14:textFill>
        </w:rPr>
      </w:pPr>
    </w:p>
    <w:p>
      <w:pPr>
        <w:jc w:val="center"/>
        <w:rPr>
          <w:rFonts w:ascii="Times New Roman" w:hAnsi="Times New Roman" w:eastAsia="宋体" w:cs="Times New Roman"/>
          <w:b/>
          <w:bCs/>
          <w:color w:val="000000" w:themeColor="text1"/>
          <w:sz w:val="24"/>
          <w:szCs w:val="24"/>
          <w14:textFill>
            <w14:solidFill>
              <w14:schemeClr w14:val="tx1"/>
            </w14:solidFill>
          </w14:textFill>
        </w:rPr>
      </w:pPr>
      <w:r>
        <w:rPr>
          <w:rFonts w:hint="eastAsia" w:ascii="Times New Roman" w:hAnsi="Times New Roman" w:eastAsia="宋体" w:cs="Times New Roman"/>
          <w:b/>
          <w:bCs/>
          <w:color w:val="000000" w:themeColor="text1"/>
          <w:sz w:val="24"/>
          <w:szCs w:val="24"/>
          <w14:textFill>
            <w14:solidFill>
              <w14:schemeClr w14:val="tx1"/>
            </w14:solidFill>
          </w14:textFill>
        </w:rPr>
        <w:t>专家意见修改清单-</w:t>
      </w:r>
      <w:r>
        <w:rPr>
          <w:rFonts w:ascii="Times New Roman" w:hAnsi="Times New Roman" w:eastAsia="宋体" w:cs="Times New Roman"/>
          <w:b/>
          <w:bCs/>
          <w:color w:val="000000" w:themeColor="text1"/>
          <w:sz w:val="24"/>
          <w:szCs w:val="24"/>
          <w14:textFill>
            <w14:solidFill>
              <w14:schemeClr w14:val="tx1"/>
            </w14:solidFill>
          </w14:textFill>
        </w:rPr>
        <w:t>-</w:t>
      </w:r>
      <w:r>
        <w:rPr>
          <w:rFonts w:hint="eastAsia" w:ascii="Times New Roman" w:hAnsi="Times New Roman" w:eastAsia="宋体" w:cs="Times New Roman"/>
          <w:b/>
          <w:bCs/>
          <w:color w:val="000000" w:themeColor="text1"/>
          <w:sz w:val="24"/>
          <w:szCs w:val="24"/>
          <w14:textFill>
            <w14:solidFill>
              <w14:schemeClr w14:val="tx1"/>
            </w14:solidFill>
          </w14:textFill>
        </w:rPr>
        <w:t>赵春娟</w:t>
      </w:r>
    </w:p>
    <w:tbl>
      <w:tblPr>
        <w:tblStyle w:val="18"/>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4261"/>
        <w:gridCol w:w="42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61" w:type="dxa"/>
            <w:vAlign w:val="center"/>
          </w:tcPr>
          <w:p>
            <w:pPr>
              <w:keepNext w:val="0"/>
              <w:keepLines w:val="0"/>
              <w:pageBreakBefore w:val="0"/>
              <w:kinsoku/>
              <w:wordWrap/>
              <w:overflowPunct/>
              <w:topLinePunct w:val="0"/>
              <w:autoSpaceDE/>
              <w:autoSpaceDN/>
              <w:bidi w:val="0"/>
              <w:adjustRightInd w:val="0"/>
              <w:snapToGrid w:val="0"/>
              <w:spacing w:beforeAutospacing="0" w:afterAutospacing="0" w:line="240" w:lineRule="auto"/>
              <w:ind w:firstLine="480" w:firstLineChars="200"/>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专家意见</w:t>
            </w:r>
          </w:p>
        </w:tc>
        <w:tc>
          <w:tcPr>
            <w:tcW w:w="4261" w:type="dxa"/>
            <w:vAlign w:val="center"/>
          </w:tcPr>
          <w:p>
            <w:pPr>
              <w:keepNext w:val="0"/>
              <w:keepLines w:val="0"/>
              <w:pageBreakBefore w:val="0"/>
              <w:kinsoku/>
              <w:wordWrap/>
              <w:overflowPunct/>
              <w:topLinePunct w:val="0"/>
              <w:autoSpaceDE/>
              <w:autoSpaceDN/>
              <w:bidi w:val="0"/>
              <w:adjustRightInd w:val="0"/>
              <w:snapToGrid w:val="0"/>
              <w:spacing w:beforeAutospacing="0" w:afterAutospacing="0" w:line="240" w:lineRule="auto"/>
              <w:ind w:firstLine="480" w:firstLineChars="200"/>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修改意见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61" w:type="dxa"/>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Chars="0"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val="0"/>
                <w:bCs w:val="0"/>
                <w:color w:val="auto"/>
                <w:sz w:val="24"/>
                <w:szCs w:val="24"/>
                <w:lang w:val="en-US" w:eastAsia="zh-CN"/>
              </w:rPr>
              <w:t>补充锅炉房建设工程施工期大气污染和噪声排放标准。</w:t>
            </w:r>
          </w:p>
        </w:tc>
        <w:tc>
          <w:tcPr>
            <w:tcW w:w="4261" w:type="dxa"/>
            <w:vAlign w:val="center"/>
          </w:tcPr>
          <w:p>
            <w:pPr>
              <w:keepNext w:val="0"/>
              <w:keepLines w:val="0"/>
              <w:pageBreakBefore w:val="0"/>
              <w:kinsoku/>
              <w:wordWrap/>
              <w:overflowPunct/>
              <w:topLinePunct w:val="0"/>
              <w:autoSpaceDE/>
              <w:autoSpaceDN/>
              <w:bidi w:val="0"/>
              <w:adjustRightInd w:val="0"/>
              <w:snapToGrid w:val="0"/>
              <w:spacing w:beforeAutospacing="0" w:afterAutospacing="0" w:line="240" w:lineRule="auto"/>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已</w:t>
            </w:r>
            <w:r>
              <w:rPr>
                <w:rFonts w:hint="eastAsia" w:ascii="宋体" w:hAnsi="宋体" w:eastAsia="宋体" w:cs="宋体"/>
                <w:color w:val="000000" w:themeColor="text1"/>
                <w:sz w:val="24"/>
                <w:szCs w:val="24"/>
                <w:lang w:val="en-US" w:eastAsia="zh-CN"/>
                <w14:textFill>
                  <w14:solidFill>
                    <w14:schemeClr w14:val="tx1"/>
                  </w14:solidFill>
                </w14:textFill>
              </w:rPr>
              <w:t>补充，P23-24</w:t>
            </w:r>
            <w:r>
              <w:rPr>
                <w:rFonts w:hint="eastAsia" w:ascii="宋体" w:hAnsi="宋体" w:eastAsia="宋体" w:cs="宋体"/>
                <w:color w:val="000000" w:themeColor="text1"/>
                <w:sz w:val="24"/>
                <w:szCs w:val="24"/>
                <w:lang w:eastAsia="zh-CN"/>
                <w14:textFill>
                  <w14:solidFill>
                    <w14:schemeClr w14:val="tx1"/>
                  </w14:solidFill>
                </w14:textFill>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6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明确本项目是否为新建灰渣间还是贮存在锅炉房内，文本中论述不一致，校核后修改统一。</w:t>
            </w:r>
          </w:p>
        </w:tc>
        <w:tc>
          <w:tcPr>
            <w:tcW w:w="4261" w:type="dxa"/>
            <w:vAlign w:val="center"/>
          </w:tcPr>
          <w:p>
            <w:pPr>
              <w:keepNext w:val="0"/>
              <w:keepLines w:val="0"/>
              <w:pageBreakBefore w:val="0"/>
              <w:kinsoku/>
              <w:wordWrap/>
              <w:overflowPunct/>
              <w:topLinePunct w:val="0"/>
              <w:autoSpaceDE/>
              <w:autoSpaceDN/>
              <w:bidi w:val="0"/>
              <w:adjustRightInd w:val="0"/>
              <w:snapToGrid w:val="0"/>
              <w:spacing w:beforeAutospacing="0" w:afterAutospacing="0" w:line="240" w:lineRule="auto"/>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已修改</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P</w:t>
            </w:r>
            <w:r>
              <w:rPr>
                <w:rFonts w:hint="eastAsia" w:ascii="宋体" w:hAnsi="宋体" w:eastAsia="宋体" w:cs="宋体"/>
                <w:color w:val="000000" w:themeColor="text1"/>
                <w:sz w:val="24"/>
                <w:szCs w:val="24"/>
                <w:lang w:val="en-US" w:eastAsia="zh-CN"/>
                <w14:textFill>
                  <w14:solidFill>
                    <w14:schemeClr w14:val="tx1"/>
                  </w14:solidFill>
                </w14:textFill>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6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sz w:val="24"/>
                <w:szCs w:val="24"/>
              </w:rPr>
            </w:pPr>
            <w:r>
              <w:rPr>
                <w:rFonts w:hint="eastAsia" w:ascii="宋体" w:hAnsi="宋体" w:cs="宋体"/>
                <w:b w:val="0"/>
                <w:bCs w:val="0"/>
                <w:sz w:val="24"/>
                <w:szCs w:val="24"/>
                <w:lang w:val="en-US" w:eastAsia="zh-CN"/>
              </w:rPr>
              <w:t>校核水量平衡图，未包括生产废水中的清洗玉米废水。</w:t>
            </w:r>
          </w:p>
        </w:tc>
        <w:tc>
          <w:tcPr>
            <w:tcW w:w="4261" w:type="dxa"/>
            <w:vAlign w:val="center"/>
          </w:tcPr>
          <w:p>
            <w:pPr>
              <w:keepNext w:val="0"/>
              <w:keepLines w:val="0"/>
              <w:pageBreakBefore w:val="0"/>
              <w:kinsoku/>
              <w:wordWrap/>
              <w:overflowPunct/>
              <w:topLinePunct w:val="0"/>
              <w:autoSpaceDE/>
              <w:autoSpaceDN/>
              <w:bidi w:val="0"/>
              <w:adjustRightInd w:val="0"/>
              <w:snapToGrid w:val="0"/>
              <w:spacing w:beforeAutospacing="0" w:afterAutospacing="0" w:line="240" w:lineRule="auto"/>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本项目的清洗用水量合并计算，共0.7t/d。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61" w:type="dxa"/>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val="0"/>
                <w:color w:val="auto"/>
                <w:sz w:val="24"/>
                <w:szCs w:val="24"/>
                <w:lang w:val="en-US" w:eastAsia="zh-CN"/>
              </w:rPr>
              <w:t>总量控制指标的论述内容中补充锅炉污染物烟气污染物中核算的许可排放量的内容。</w:t>
            </w:r>
          </w:p>
        </w:tc>
        <w:tc>
          <w:tcPr>
            <w:tcW w:w="4261" w:type="dxa"/>
            <w:vAlign w:val="center"/>
          </w:tcPr>
          <w:p>
            <w:pPr>
              <w:keepNext w:val="0"/>
              <w:keepLines w:val="0"/>
              <w:pageBreakBefore w:val="0"/>
              <w:kinsoku/>
              <w:wordWrap/>
              <w:overflowPunct/>
              <w:topLinePunct w:val="0"/>
              <w:autoSpaceDE/>
              <w:autoSpaceDN/>
              <w:bidi w:val="0"/>
              <w:adjustRightInd w:val="0"/>
              <w:snapToGrid w:val="0"/>
              <w:spacing w:beforeAutospacing="0" w:afterAutospacing="0" w:line="240" w:lineRule="auto"/>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已</w:t>
            </w:r>
            <w:r>
              <w:rPr>
                <w:rFonts w:hint="eastAsia" w:ascii="宋体" w:hAnsi="宋体" w:eastAsia="宋体" w:cs="宋体"/>
                <w:color w:val="000000" w:themeColor="text1"/>
                <w:sz w:val="24"/>
                <w:szCs w:val="24"/>
                <w:lang w:eastAsia="zh-CN"/>
                <w14:textFill>
                  <w14:solidFill>
                    <w14:schemeClr w14:val="tx1"/>
                  </w14:solidFill>
                </w14:textFill>
              </w:rPr>
              <w:t>修改</w:t>
            </w:r>
            <w:r>
              <w:rPr>
                <w:rFonts w:hint="eastAsia" w:ascii="宋体" w:hAnsi="宋体" w:eastAsia="宋体" w:cs="宋体"/>
                <w:color w:val="000000" w:themeColor="text1"/>
                <w:sz w:val="24"/>
                <w:szCs w:val="24"/>
                <w14:textFill>
                  <w14:solidFill>
                    <w14:schemeClr w14:val="tx1"/>
                  </w14:solidFill>
                </w14:textFill>
              </w:rPr>
              <w:t>，见P</w:t>
            </w:r>
            <w:r>
              <w:rPr>
                <w:rFonts w:hint="eastAsia" w:ascii="宋体" w:hAnsi="宋体" w:eastAsia="宋体" w:cs="宋体"/>
                <w:color w:val="000000" w:themeColor="text1"/>
                <w:sz w:val="24"/>
                <w:szCs w:val="24"/>
                <w:lang w:val="en-US" w:eastAsia="zh-CN"/>
                <w14:textFill>
                  <w14:solidFill>
                    <w14:schemeClr w14:val="tx1"/>
                  </w14:solidFill>
                </w14:textFill>
              </w:rPr>
              <w:t>25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6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补充环境影响评价信用平台的编制单位和编制人员信息表。</w:t>
            </w:r>
          </w:p>
        </w:tc>
        <w:tc>
          <w:tcPr>
            <w:tcW w:w="4261" w:type="dxa"/>
            <w:vAlign w:val="center"/>
          </w:tcPr>
          <w:p>
            <w:pPr>
              <w:keepNext w:val="0"/>
              <w:keepLines w:val="0"/>
              <w:pageBreakBefore w:val="0"/>
              <w:kinsoku/>
              <w:wordWrap/>
              <w:overflowPunct/>
              <w:topLinePunct w:val="0"/>
              <w:autoSpaceDE/>
              <w:autoSpaceDN/>
              <w:bidi w:val="0"/>
              <w:adjustRightInd w:val="0"/>
              <w:snapToGrid w:val="0"/>
              <w:spacing w:beforeAutospacing="0" w:afterAutospacing="0" w:line="240" w:lineRule="auto"/>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已补充。</w:t>
            </w:r>
          </w:p>
        </w:tc>
      </w:tr>
    </w:tbl>
    <w:p>
      <w:pPr>
        <w:rPr>
          <w:rFonts w:ascii="Times New Roman" w:hAnsi="Times New Roman" w:eastAsia="宋体" w:cs="Times New Roman"/>
          <w:color w:val="000000" w:themeColor="text1"/>
          <w14:textFill>
            <w14:solidFill>
              <w14:schemeClr w14:val="tx1"/>
            </w14:solidFill>
          </w14:textFill>
        </w:rPr>
      </w:pPr>
    </w:p>
    <w:p>
      <w:pPr>
        <w:jc w:val="center"/>
        <w:rPr>
          <w:rFonts w:hint="eastAsia" w:ascii="Times New Roman" w:hAnsi="Times New Roman" w:eastAsia="宋体" w:cs="Times New Roman"/>
          <w:b/>
          <w:bCs/>
          <w:color w:val="auto"/>
          <w:sz w:val="24"/>
          <w:szCs w:val="24"/>
          <w:lang w:eastAsia="zh-CN"/>
        </w:rPr>
      </w:pPr>
      <w:r>
        <w:rPr>
          <w:rFonts w:hint="eastAsia" w:ascii="Times New Roman" w:hAnsi="Times New Roman" w:eastAsia="宋体" w:cs="Times New Roman"/>
          <w:b/>
          <w:bCs/>
          <w:color w:val="auto"/>
          <w:sz w:val="24"/>
          <w:szCs w:val="24"/>
        </w:rPr>
        <w:t>专家意见修改清单-</w:t>
      </w:r>
      <w:r>
        <w:rPr>
          <w:rFonts w:ascii="Times New Roman" w:hAnsi="Times New Roman" w:eastAsia="宋体" w:cs="Times New Roman"/>
          <w:b/>
          <w:bCs/>
          <w:color w:val="auto"/>
          <w:sz w:val="24"/>
          <w:szCs w:val="24"/>
        </w:rPr>
        <w:t>-</w:t>
      </w:r>
      <w:r>
        <w:rPr>
          <w:rFonts w:hint="eastAsia" w:ascii="Times New Roman" w:hAnsi="Times New Roman" w:eastAsia="宋体" w:cs="Times New Roman"/>
          <w:b/>
          <w:bCs/>
          <w:color w:val="auto"/>
          <w:sz w:val="24"/>
          <w:szCs w:val="24"/>
          <w:lang w:eastAsia="zh-CN"/>
        </w:rPr>
        <w:t>丁娇</w:t>
      </w:r>
    </w:p>
    <w:tbl>
      <w:tblPr>
        <w:tblStyle w:val="18"/>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4261"/>
        <w:gridCol w:w="42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61" w:type="dxa"/>
            <w:vAlign w:val="center"/>
          </w:tcPr>
          <w:p>
            <w:pPr>
              <w:keepNext w:val="0"/>
              <w:keepLines w:val="0"/>
              <w:pageBreakBefore w:val="0"/>
              <w:kinsoku/>
              <w:wordWrap/>
              <w:overflowPunct/>
              <w:topLinePunct w:val="0"/>
              <w:autoSpaceDE/>
              <w:autoSpaceDN/>
              <w:bidi w:val="0"/>
              <w:adjustRightInd w:val="0"/>
              <w:snapToGrid w:val="0"/>
              <w:spacing w:beforeAutospacing="0" w:afterAutospacing="0"/>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专家意见</w:t>
            </w:r>
          </w:p>
        </w:tc>
        <w:tc>
          <w:tcPr>
            <w:tcW w:w="4261" w:type="dxa"/>
            <w:vAlign w:val="center"/>
          </w:tcPr>
          <w:p>
            <w:pPr>
              <w:keepNext w:val="0"/>
              <w:keepLines w:val="0"/>
              <w:pageBreakBefore w:val="0"/>
              <w:kinsoku/>
              <w:wordWrap/>
              <w:overflowPunct/>
              <w:topLinePunct w:val="0"/>
              <w:autoSpaceDE/>
              <w:autoSpaceDN/>
              <w:bidi w:val="0"/>
              <w:adjustRightInd w:val="0"/>
              <w:snapToGrid w:val="0"/>
              <w:spacing w:beforeAutospacing="0" w:afterAutospacing="0"/>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修改意见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61" w:type="dxa"/>
            <w:vAlign w:val="center"/>
          </w:tcPr>
          <w:p>
            <w:pPr>
              <w:keepNext w:val="0"/>
              <w:keepLines w:val="0"/>
              <w:widowControl/>
              <w:suppressLineNumbers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校核灰渣贮存方式，是否建设灰渣间，前后不一致。</w:t>
            </w:r>
          </w:p>
        </w:tc>
        <w:tc>
          <w:tcPr>
            <w:tcW w:w="4261" w:type="dxa"/>
            <w:vAlign w:val="center"/>
          </w:tcPr>
          <w:p>
            <w:pPr>
              <w:keepNext w:val="0"/>
              <w:keepLines w:val="0"/>
              <w:pageBreakBefore w:val="0"/>
              <w:kinsoku/>
              <w:wordWrap/>
              <w:overflowPunct/>
              <w:topLinePunct w:val="0"/>
              <w:autoSpaceDE/>
              <w:autoSpaceDN/>
              <w:bidi w:val="0"/>
              <w:adjustRightInd w:val="0"/>
              <w:snapToGrid w:val="0"/>
              <w:spacing w:beforeAutospacing="0" w:afterAutospacing="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已修改。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61"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完善设备清单，补充脱硝设施。</w:t>
            </w:r>
          </w:p>
        </w:tc>
        <w:tc>
          <w:tcPr>
            <w:tcW w:w="4261" w:type="dxa"/>
            <w:vAlign w:val="center"/>
          </w:tcPr>
          <w:p>
            <w:pPr>
              <w:keepNext w:val="0"/>
              <w:keepLines w:val="0"/>
              <w:pageBreakBefore w:val="0"/>
              <w:kinsoku/>
              <w:wordWrap/>
              <w:overflowPunct/>
              <w:topLinePunct w:val="0"/>
              <w:autoSpaceDE/>
              <w:autoSpaceDN/>
              <w:bidi w:val="0"/>
              <w:adjustRightInd w:val="0"/>
              <w:snapToGrid w:val="0"/>
              <w:spacing w:beforeAutospacing="0" w:afterAutospacing="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已补充</w:t>
            </w:r>
            <w:r>
              <w:rPr>
                <w:rFonts w:hint="eastAsia" w:ascii="宋体" w:hAnsi="宋体" w:eastAsia="宋体" w:cs="宋体"/>
                <w:color w:val="000000"/>
                <w:kern w:val="0"/>
                <w:sz w:val="24"/>
                <w:szCs w:val="24"/>
                <w:lang w:val="en-US" w:eastAsia="zh-CN" w:bidi="ar"/>
              </w:rPr>
              <w:t>。P11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61" w:type="dxa"/>
            <w:vAlign w:val="center"/>
          </w:tcPr>
          <w:p>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因玉米蒸煮废水COD浓度较高，补充论述生产废水还田的可行性分析。</w:t>
            </w:r>
          </w:p>
        </w:tc>
        <w:tc>
          <w:tcPr>
            <w:tcW w:w="4261" w:type="dxa"/>
            <w:vAlign w:val="center"/>
          </w:tcPr>
          <w:p>
            <w:pPr>
              <w:keepNext w:val="0"/>
              <w:keepLines w:val="0"/>
              <w:pageBreakBefore w:val="0"/>
              <w:kinsoku/>
              <w:wordWrap/>
              <w:overflowPunct/>
              <w:topLinePunct w:val="0"/>
              <w:autoSpaceDE/>
              <w:autoSpaceDN/>
              <w:bidi w:val="0"/>
              <w:adjustRightInd w:val="0"/>
              <w:snapToGrid w:val="0"/>
              <w:spacing w:beforeAutospacing="0" w:afterAutospacing="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生产废水不是直接污灌农田，是送入农田掺有机肥发酵后还田，可行性分析内容见p36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61" w:type="dxa"/>
            <w:vAlign w:val="center"/>
          </w:tcPr>
          <w:p>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虽然工程大部分为依托，但主要生产设备锅炉为新建，涉及到施工过程的废气，废水，噪声，固体废物的产生，需要简要描述。</w:t>
            </w:r>
          </w:p>
        </w:tc>
        <w:tc>
          <w:tcPr>
            <w:tcW w:w="4261" w:type="dxa"/>
            <w:vAlign w:val="center"/>
          </w:tcPr>
          <w:p>
            <w:pPr>
              <w:keepNext w:val="0"/>
              <w:keepLines w:val="0"/>
              <w:pageBreakBefore w:val="0"/>
              <w:kinsoku/>
              <w:wordWrap/>
              <w:overflowPunct/>
              <w:topLinePunct w:val="0"/>
              <w:autoSpaceDE/>
              <w:autoSpaceDN/>
              <w:bidi w:val="0"/>
              <w:adjustRightInd w:val="0"/>
              <w:snapToGrid w:val="0"/>
              <w:spacing w:beforeAutospacing="0" w:afterAutospacing="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根据《建设项目环境影响报告表编制技术指南（污染影响类）》（试行）：新版环评报告表中仅要求说明施工期环境保护措施：填写施工扬尘、废水、噪声、固体废物、振动等防治措施。本环评已按要求完成。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61" w:type="dxa"/>
            <w:vAlign w:val="center"/>
          </w:tcPr>
          <w:p>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非正常工况需要考虑氮氧化物治理设备故障情况。</w:t>
            </w:r>
          </w:p>
        </w:tc>
        <w:tc>
          <w:tcPr>
            <w:tcW w:w="4261" w:type="dxa"/>
            <w:vAlign w:val="center"/>
          </w:tcPr>
          <w:p>
            <w:pPr>
              <w:keepNext w:val="0"/>
              <w:keepLines w:val="0"/>
              <w:pageBreakBefore w:val="0"/>
              <w:kinsoku/>
              <w:wordWrap/>
              <w:overflowPunct/>
              <w:topLinePunct w:val="0"/>
              <w:autoSpaceDE/>
              <w:autoSpaceDN/>
              <w:bidi w:val="0"/>
              <w:adjustRightInd w:val="0"/>
              <w:snapToGrid w:val="0"/>
              <w:spacing w:beforeAutospacing="0" w:afterAutospacing="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已补充。P34</w:t>
            </w:r>
          </w:p>
        </w:tc>
      </w:tr>
    </w:tbl>
    <w:p>
      <w:pPr>
        <w:rPr>
          <w:rFonts w:ascii="Times New Roman" w:hAnsi="Times New Roman" w:eastAsia="宋体" w:cs="Times New Roman"/>
          <w:color w:val="000000" w:themeColor="text1"/>
          <w14:textFill>
            <w14:solidFill>
              <w14:schemeClr w14:val="tx1"/>
            </w14:solidFill>
          </w14:textFill>
        </w:rPr>
      </w:pPr>
    </w:p>
    <w:p>
      <w:pPr>
        <w:rPr>
          <w:rFonts w:ascii="Times New Roman" w:hAnsi="Times New Roman" w:eastAsia="宋体" w:cs="Times New Roman"/>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BjY2VlOWE1MTZjNDhiNGQ0NGE0NmVhMWUyNWQ5ZmYifQ=="/>
  </w:docVars>
  <w:rsids>
    <w:rsidRoot w:val="00682080"/>
    <w:rsid w:val="00020303"/>
    <w:rsid w:val="00033D94"/>
    <w:rsid w:val="00035E2B"/>
    <w:rsid w:val="00042281"/>
    <w:rsid w:val="000547EA"/>
    <w:rsid w:val="000569CF"/>
    <w:rsid w:val="00056D26"/>
    <w:rsid w:val="000842F7"/>
    <w:rsid w:val="000949C9"/>
    <w:rsid w:val="000A2E23"/>
    <w:rsid w:val="000B16B6"/>
    <w:rsid w:val="000B4CFC"/>
    <w:rsid w:val="000C1748"/>
    <w:rsid w:val="000E03D1"/>
    <w:rsid w:val="000E1BAB"/>
    <w:rsid w:val="000F0120"/>
    <w:rsid w:val="000F13FE"/>
    <w:rsid w:val="00100A57"/>
    <w:rsid w:val="001077CE"/>
    <w:rsid w:val="0011193C"/>
    <w:rsid w:val="00127223"/>
    <w:rsid w:val="00127758"/>
    <w:rsid w:val="00132D76"/>
    <w:rsid w:val="00141EFE"/>
    <w:rsid w:val="00145B2C"/>
    <w:rsid w:val="00146AB2"/>
    <w:rsid w:val="00157691"/>
    <w:rsid w:val="001725EF"/>
    <w:rsid w:val="00184CFB"/>
    <w:rsid w:val="00197BF7"/>
    <w:rsid w:val="001A7B97"/>
    <w:rsid w:val="001B3E37"/>
    <w:rsid w:val="001C7D92"/>
    <w:rsid w:val="001D1153"/>
    <w:rsid w:val="001D27B4"/>
    <w:rsid w:val="001E0747"/>
    <w:rsid w:val="001E30FD"/>
    <w:rsid w:val="001E43B4"/>
    <w:rsid w:val="001F0ED2"/>
    <w:rsid w:val="001F4D76"/>
    <w:rsid w:val="001F6A26"/>
    <w:rsid w:val="00202ABA"/>
    <w:rsid w:val="002043C7"/>
    <w:rsid w:val="00216C46"/>
    <w:rsid w:val="002265E8"/>
    <w:rsid w:val="0023166F"/>
    <w:rsid w:val="00254883"/>
    <w:rsid w:val="00265ADB"/>
    <w:rsid w:val="00270782"/>
    <w:rsid w:val="00284359"/>
    <w:rsid w:val="0028773C"/>
    <w:rsid w:val="00287ED2"/>
    <w:rsid w:val="00294CDF"/>
    <w:rsid w:val="002A4117"/>
    <w:rsid w:val="002A5B14"/>
    <w:rsid w:val="002B18D9"/>
    <w:rsid w:val="002B4537"/>
    <w:rsid w:val="002C6213"/>
    <w:rsid w:val="002D40E2"/>
    <w:rsid w:val="002D7A43"/>
    <w:rsid w:val="002E497F"/>
    <w:rsid w:val="002F040C"/>
    <w:rsid w:val="002F364C"/>
    <w:rsid w:val="003100AE"/>
    <w:rsid w:val="00321C58"/>
    <w:rsid w:val="00334D2A"/>
    <w:rsid w:val="00336248"/>
    <w:rsid w:val="00346128"/>
    <w:rsid w:val="00350A89"/>
    <w:rsid w:val="00352320"/>
    <w:rsid w:val="00356725"/>
    <w:rsid w:val="00362444"/>
    <w:rsid w:val="0036770D"/>
    <w:rsid w:val="003824CD"/>
    <w:rsid w:val="00385C17"/>
    <w:rsid w:val="00386AD5"/>
    <w:rsid w:val="0039799B"/>
    <w:rsid w:val="003A1D8A"/>
    <w:rsid w:val="003A3742"/>
    <w:rsid w:val="003A482C"/>
    <w:rsid w:val="003C1510"/>
    <w:rsid w:val="003C2435"/>
    <w:rsid w:val="003C2F68"/>
    <w:rsid w:val="003C7F02"/>
    <w:rsid w:val="003D204C"/>
    <w:rsid w:val="003D2B73"/>
    <w:rsid w:val="003F001F"/>
    <w:rsid w:val="003F4354"/>
    <w:rsid w:val="004058E8"/>
    <w:rsid w:val="00405F9F"/>
    <w:rsid w:val="00413B28"/>
    <w:rsid w:val="00443171"/>
    <w:rsid w:val="00443657"/>
    <w:rsid w:val="00454E7E"/>
    <w:rsid w:val="004639D0"/>
    <w:rsid w:val="00463CA4"/>
    <w:rsid w:val="00472B9E"/>
    <w:rsid w:val="00474969"/>
    <w:rsid w:val="00490AC2"/>
    <w:rsid w:val="00497FD2"/>
    <w:rsid w:val="004A0630"/>
    <w:rsid w:val="004A58C7"/>
    <w:rsid w:val="004B186B"/>
    <w:rsid w:val="004B2383"/>
    <w:rsid w:val="004B29CE"/>
    <w:rsid w:val="004C452A"/>
    <w:rsid w:val="004D36B3"/>
    <w:rsid w:val="004E3EC6"/>
    <w:rsid w:val="004E5C93"/>
    <w:rsid w:val="004F6753"/>
    <w:rsid w:val="00506D78"/>
    <w:rsid w:val="005108D9"/>
    <w:rsid w:val="005160F5"/>
    <w:rsid w:val="00517BD6"/>
    <w:rsid w:val="00521244"/>
    <w:rsid w:val="00527E2B"/>
    <w:rsid w:val="0054765E"/>
    <w:rsid w:val="005520B4"/>
    <w:rsid w:val="00564802"/>
    <w:rsid w:val="00565BA2"/>
    <w:rsid w:val="0059430C"/>
    <w:rsid w:val="00595F41"/>
    <w:rsid w:val="00595FF1"/>
    <w:rsid w:val="005A1F0F"/>
    <w:rsid w:val="005B36AE"/>
    <w:rsid w:val="005B6698"/>
    <w:rsid w:val="005C196F"/>
    <w:rsid w:val="005D0723"/>
    <w:rsid w:val="005D2344"/>
    <w:rsid w:val="005D5A82"/>
    <w:rsid w:val="005E0B91"/>
    <w:rsid w:val="005E7AB9"/>
    <w:rsid w:val="005F543D"/>
    <w:rsid w:val="005F6A63"/>
    <w:rsid w:val="00600E2A"/>
    <w:rsid w:val="00603FC5"/>
    <w:rsid w:val="0060610E"/>
    <w:rsid w:val="0061057A"/>
    <w:rsid w:val="00610FC7"/>
    <w:rsid w:val="00633F90"/>
    <w:rsid w:val="00635CF4"/>
    <w:rsid w:val="00640A8D"/>
    <w:rsid w:val="00640C0A"/>
    <w:rsid w:val="006424F4"/>
    <w:rsid w:val="00644B9A"/>
    <w:rsid w:val="00645729"/>
    <w:rsid w:val="00651F8E"/>
    <w:rsid w:val="006622D7"/>
    <w:rsid w:val="0066552A"/>
    <w:rsid w:val="0066744E"/>
    <w:rsid w:val="00677D28"/>
    <w:rsid w:val="00681DF1"/>
    <w:rsid w:val="00682080"/>
    <w:rsid w:val="00682EA6"/>
    <w:rsid w:val="006A067D"/>
    <w:rsid w:val="006A1044"/>
    <w:rsid w:val="006A3376"/>
    <w:rsid w:val="006D1A0A"/>
    <w:rsid w:val="0070620D"/>
    <w:rsid w:val="00711930"/>
    <w:rsid w:val="00736C1D"/>
    <w:rsid w:val="00745957"/>
    <w:rsid w:val="0076096C"/>
    <w:rsid w:val="00764DAA"/>
    <w:rsid w:val="007771DC"/>
    <w:rsid w:val="00784FFA"/>
    <w:rsid w:val="007A6741"/>
    <w:rsid w:val="007A7327"/>
    <w:rsid w:val="007B2C15"/>
    <w:rsid w:val="007C56F5"/>
    <w:rsid w:val="00802B91"/>
    <w:rsid w:val="008260D7"/>
    <w:rsid w:val="00846604"/>
    <w:rsid w:val="00852442"/>
    <w:rsid w:val="008777E1"/>
    <w:rsid w:val="0088317F"/>
    <w:rsid w:val="00894A6C"/>
    <w:rsid w:val="008A01B0"/>
    <w:rsid w:val="008A7950"/>
    <w:rsid w:val="008B7773"/>
    <w:rsid w:val="008C23C8"/>
    <w:rsid w:val="008C3379"/>
    <w:rsid w:val="008C6181"/>
    <w:rsid w:val="008D1BC8"/>
    <w:rsid w:val="008D3CC1"/>
    <w:rsid w:val="008E4032"/>
    <w:rsid w:val="00912E17"/>
    <w:rsid w:val="009134FA"/>
    <w:rsid w:val="0093183B"/>
    <w:rsid w:val="00934851"/>
    <w:rsid w:val="00940828"/>
    <w:rsid w:val="00951B8E"/>
    <w:rsid w:val="0096350F"/>
    <w:rsid w:val="00971240"/>
    <w:rsid w:val="0097363F"/>
    <w:rsid w:val="00983B7E"/>
    <w:rsid w:val="009861AB"/>
    <w:rsid w:val="00991D29"/>
    <w:rsid w:val="00992B28"/>
    <w:rsid w:val="009962BB"/>
    <w:rsid w:val="00997BE1"/>
    <w:rsid w:val="009A743C"/>
    <w:rsid w:val="009C4AB3"/>
    <w:rsid w:val="009D3FB0"/>
    <w:rsid w:val="009D54CD"/>
    <w:rsid w:val="009F3D73"/>
    <w:rsid w:val="009F4484"/>
    <w:rsid w:val="00A05D34"/>
    <w:rsid w:val="00A1067B"/>
    <w:rsid w:val="00A121FC"/>
    <w:rsid w:val="00A154BB"/>
    <w:rsid w:val="00A174A8"/>
    <w:rsid w:val="00A22A0C"/>
    <w:rsid w:val="00A26B1B"/>
    <w:rsid w:val="00A30428"/>
    <w:rsid w:val="00A354AA"/>
    <w:rsid w:val="00A45E60"/>
    <w:rsid w:val="00A50B9C"/>
    <w:rsid w:val="00A52BAC"/>
    <w:rsid w:val="00A5564A"/>
    <w:rsid w:val="00A56FFB"/>
    <w:rsid w:val="00A6035C"/>
    <w:rsid w:val="00A60F39"/>
    <w:rsid w:val="00A6318E"/>
    <w:rsid w:val="00A67362"/>
    <w:rsid w:val="00A700F0"/>
    <w:rsid w:val="00A71704"/>
    <w:rsid w:val="00A7349D"/>
    <w:rsid w:val="00A90B93"/>
    <w:rsid w:val="00A912E6"/>
    <w:rsid w:val="00A91FFC"/>
    <w:rsid w:val="00A92816"/>
    <w:rsid w:val="00A93627"/>
    <w:rsid w:val="00AA62DD"/>
    <w:rsid w:val="00AB438D"/>
    <w:rsid w:val="00AB79B2"/>
    <w:rsid w:val="00AC7A0D"/>
    <w:rsid w:val="00AD4A1F"/>
    <w:rsid w:val="00AE50DD"/>
    <w:rsid w:val="00AF0ADE"/>
    <w:rsid w:val="00AF1BA6"/>
    <w:rsid w:val="00AF3AB7"/>
    <w:rsid w:val="00B001E0"/>
    <w:rsid w:val="00B13F8F"/>
    <w:rsid w:val="00B216F5"/>
    <w:rsid w:val="00B25BAA"/>
    <w:rsid w:val="00B31CF5"/>
    <w:rsid w:val="00B31F2D"/>
    <w:rsid w:val="00B32848"/>
    <w:rsid w:val="00B44D1E"/>
    <w:rsid w:val="00B516C6"/>
    <w:rsid w:val="00B668A8"/>
    <w:rsid w:val="00B77E2D"/>
    <w:rsid w:val="00B93B91"/>
    <w:rsid w:val="00BB7DB9"/>
    <w:rsid w:val="00BC0B25"/>
    <w:rsid w:val="00BE7482"/>
    <w:rsid w:val="00BF6A06"/>
    <w:rsid w:val="00C024BE"/>
    <w:rsid w:val="00C02DAE"/>
    <w:rsid w:val="00C07D80"/>
    <w:rsid w:val="00C20794"/>
    <w:rsid w:val="00C23CA6"/>
    <w:rsid w:val="00C23CB8"/>
    <w:rsid w:val="00C4125F"/>
    <w:rsid w:val="00C4174C"/>
    <w:rsid w:val="00C81547"/>
    <w:rsid w:val="00C8211C"/>
    <w:rsid w:val="00C91089"/>
    <w:rsid w:val="00C967CB"/>
    <w:rsid w:val="00CA148D"/>
    <w:rsid w:val="00CB220A"/>
    <w:rsid w:val="00CC0CCC"/>
    <w:rsid w:val="00D01A73"/>
    <w:rsid w:val="00D021D9"/>
    <w:rsid w:val="00D20258"/>
    <w:rsid w:val="00D20EA0"/>
    <w:rsid w:val="00D41908"/>
    <w:rsid w:val="00D41D22"/>
    <w:rsid w:val="00D45CEB"/>
    <w:rsid w:val="00D50D41"/>
    <w:rsid w:val="00D5358D"/>
    <w:rsid w:val="00D770F7"/>
    <w:rsid w:val="00D963A1"/>
    <w:rsid w:val="00DA2B58"/>
    <w:rsid w:val="00DB1D1B"/>
    <w:rsid w:val="00DC16BA"/>
    <w:rsid w:val="00DC540B"/>
    <w:rsid w:val="00DD3B6C"/>
    <w:rsid w:val="00DE4500"/>
    <w:rsid w:val="00DF4BCE"/>
    <w:rsid w:val="00E000C0"/>
    <w:rsid w:val="00E006CD"/>
    <w:rsid w:val="00E04F44"/>
    <w:rsid w:val="00E13744"/>
    <w:rsid w:val="00E1574C"/>
    <w:rsid w:val="00E238ED"/>
    <w:rsid w:val="00E309B6"/>
    <w:rsid w:val="00E33B9E"/>
    <w:rsid w:val="00E37D79"/>
    <w:rsid w:val="00E42561"/>
    <w:rsid w:val="00E429A9"/>
    <w:rsid w:val="00E96695"/>
    <w:rsid w:val="00EB3A69"/>
    <w:rsid w:val="00EC2A50"/>
    <w:rsid w:val="00ED3530"/>
    <w:rsid w:val="00F01248"/>
    <w:rsid w:val="00F02011"/>
    <w:rsid w:val="00F05717"/>
    <w:rsid w:val="00F15C5A"/>
    <w:rsid w:val="00F17F1E"/>
    <w:rsid w:val="00F21E07"/>
    <w:rsid w:val="00F2285E"/>
    <w:rsid w:val="00F40329"/>
    <w:rsid w:val="00F41101"/>
    <w:rsid w:val="00F544D6"/>
    <w:rsid w:val="00F70543"/>
    <w:rsid w:val="00F752F8"/>
    <w:rsid w:val="00F800DA"/>
    <w:rsid w:val="00F84AE9"/>
    <w:rsid w:val="00F94329"/>
    <w:rsid w:val="00FC5A71"/>
    <w:rsid w:val="00FC6A23"/>
    <w:rsid w:val="00FD5A91"/>
    <w:rsid w:val="00FE1A0F"/>
    <w:rsid w:val="00FE3544"/>
    <w:rsid w:val="00FF1893"/>
    <w:rsid w:val="00FF2D44"/>
    <w:rsid w:val="0476412C"/>
    <w:rsid w:val="05D374F2"/>
    <w:rsid w:val="07443DDC"/>
    <w:rsid w:val="07F823B0"/>
    <w:rsid w:val="086F1C8A"/>
    <w:rsid w:val="095D7B76"/>
    <w:rsid w:val="0A205539"/>
    <w:rsid w:val="196D0CE3"/>
    <w:rsid w:val="1AC46722"/>
    <w:rsid w:val="220F5294"/>
    <w:rsid w:val="29FA4715"/>
    <w:rsid w:val="2C670E2A"/>
    <w:rsid w:val="31725B1B"/>
    <w:rsid w:val="3B5949D3"/>
    <w:rsid w:val="3B9410C3"/>
    <w:rsid w:val="3D1D508F"/>
    <w:rsid w:val="48E571F6"/>
    <w:rsid w:val="4AC1232C"/>
    <w:rsid w:val="4B2042F7"/>
    <w:rsid w:val="4D515316"/>
    <w:rsid w:val="4DB310EA"/>
    <w:rsid w:val="4E135749"/>
    <w:rsid w:val="4FDE5366"/>
    <w:rsid w:val="503E2F44"/>
    <w:rsid w:val="51302371"/>
    <w:rsid w:val="528F7EED"/>
    <w:rsid w:val="56B310D7"/>
    <w:rsid w:val="59781003"/>
    <w:rsid w:val="59B85126"/>
    <w:rsid w:val="5B6A6CD3"/>
    <w:rsid w:val="5F484AC8"/>
    <w:rsid w:val="61876A91"/>
    <w:rsid w:val="63C90092"/>
    <w:rsid w:val="663A78C6"/>
    <w:rsid w:val="68596C3E"/>
    <w:rsid w:val="687F5564"/>
    <w:rsid w:val="6AE12CA9"/>
    <w:rsid w:val="6D2A0E91"/>
    <w:rsid w:val="6DAC2C63"/>
    <w:rsid w:val="6EAF57D8"/>
    <w:rsid w:val="74912704"/>
    <w:rsid w:val="76DF1418"/>
    <w:rsid w:val="7CB242C4"/>
    <w:rsid w:val="7DCD4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3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9"/>
    <w:pPr>
      <w:keepNext/>
      <w:overflowPunct w:val="0"/>
      <w:snapToGrid w:val="0"/>
      <w:spacing w:before="120" w:after="160" w:line="259" w:lineRule="auto"/>
      <w:ind w:left="432" w:hanging="432"/>
      <w:outlineLvl w:val="0"/>
    </w:pPr>
    <w:rPr>
      <w:rFonts w:eastAsia="黑体"/>
      <w:b/>
      <w:bCs/>
      <w:color w:val="000000"/>
      <w:kern w:val="44"/>
      <w:sz w:val="30"/>
      <w:szCs w:val="30"/>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qFormat/>
    <w:uiPriority w:val="39"/>
    <w:pPr>
      <w:ind w:left="210"/>
      <w:jc w:val="left"/>
    </w:pPr>
    <w:rPr>
      <w:rFonts w:ascii="Times New Roman" w:hAnsi="Times New Roman"/>
      <w:smallCaps/>
      <w:sz w:val="20"/>
      <w:szCs w:val="20"/>
    </w:rPr>
  </w:style>
  <w:style w:type="paragraph" w:styleId="4">
    <w:name w:val="annotation text"/>
    <w:basedOn w:val="1"/>
    <w:link w:val="35"/>
    <w:semiHidden/>
    <w:unhideWhenUsed/>
    <w:qFormat/>
    <w:uiPriority w:val="99"/>
    <w:pPr>
      <w:jc w:val="left"/>
    </w:pPr>
  </w:style>
  <w:style w:type="paragraph" w:styleId="5">
    <w:name w:val="Body Text"/>
    <w:basedOn w:val="1"/>
    <w:next w:val="6"/>
    <w:link w:val="33"/>
    <w:semiHidden/>
    <w:unhideWhenUsed/>
    <w:qFormat/>
    <w:uiPriority w:val="99"/>
    <w:pPr>
      <w:spacing w:after="120"/>
    </w:pPr>
  </w:style>
  <w:style w:type="paragraph" w:customStyle="1" w:styleId="6">
    <w:name w:val="Normal (Web)1"/>
    <w:basedOn w:val="1"/>
    <w:next w:val="7"/>
    <w:qFormat/>
    <w:uiPriority w:val="0"/>
    <w:pPr>
      <w:widowControl/>
      <w:jc w:val="left"/>
    </w:pPr>
    <w:rPr>
      <w:rFonts w:ascii="宋体"/>
      <w:kern w:val="0"/>
      <w:sz w:val="24"/>
      <w:szCs w:val="21"/>
    </w:rPr>
  </w:style>
  <w:style w:type="paragraph" w:customStyle="1" w:styleId="7">
    <w:name w:val="Date1"/>
    <w:basedOn w:val="1"/>
    <w:next w:val="1"/>
    <w:qFormat/>
    <w:uiPriority w:val="0"/>
    <w:pPr>
      <w:ind w:left="2500" w:leftChars="2500"/>
    </w:pPr>
  </w:style>
  <w:style w:type="paragraph" w:styleId="8">
    <w:name w:val="Body Text Indent"/>
    <w:basedOn w:val="1"/>
    <w:link w:val="30"/>
    <w:semiHidden/>
    <w:unhideWhenUsed/>
    <w:qFormat/>
    <w:uiPriority w:val="99"/>
    <w:pPr>
      <w:spacing w:after="120"/>
      <w:ind w:left="420" w:leftChars="200"/>
    </w:pPr>
  </w:style>
  <w:style w:type="paragraph" w:styleId="9">
    <w:name w:val="Body Text Indent 2"/>
    <w:basedOn w:val="1"/>
    <w:next w:val="1"/>
    <w:link w:val="28"/>
    <w:qFormat/>
    <w:uiPriority w:val="0"/>
    <w:pPr>
      <w:spacing w:line="400" w:lineRule="exact"/>
      <w:ind w:left="723" w:firstLine="357"/>
      <w:jc w:val="left"/>
    </w:pPr>
    <w:rPr>
      <w:rFonts w:ascii="宋体" w:hAnsi="宋体" w:eastAsia="宋体" w:cs="Times New Roman"/>
      <w:sz w:val="24"/>
      <w:szCs w:val="24"/>
    </w:rPr>
  </w:style>
  <w:style w:type="paragraph" w:styleId="10">
    <w:name w:val="Balloon Text"/>
    <w:basedOn w:val="1"/>
    <w:link w:val="23"/>
    <w:unhideWhenUsed/>
    <w:qFormat/>
    <w:uiPriority w:val="99"/>
    <w:rPr>
      <w:sz w:val="18"/>
      <w:szCs w:val="18"/>
    </w:rPr>
  </w:style>
  <w:style w:type="paragraph" w:styleId="11">
    <w:name w:val="footer"/>
    <w:basedOn w:val="1"/>
    <w:link w:val="22"/>
    <w:unhideWhenUsed/>
    <w:qFormat/>
    <w:uiPriority w:val="99"/>
    <w:pPr>
      <w:tabs>
        <w:tab w:val="center" w:pos="4153"/>
        <w:tab w:val="right" w:pos="8306"/>
      </w:tabs>
      <w:snapToGrid w:val="0"/>
      <w:jc w:val="left"/>
    </w:pPr>
    <w:rPr>
      <w:sz w:val="18"/>
      <w:szCs w:val="18"/>
    </w:rPr>
  </w:style>
  <w:style w:type="paragraph" w:styleId="12">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Body Text Indent 3"/>
    <w:basedOn w:val="1"/>
    <w:link w:val="29"/>
    <w:semiHidden/>
    <w:unhideWhenUsed/>
    <w:qFormat/>
    <w:uiPriority w:val="99"/>
    <w:pPr>
      <w:spacing w:after="120"/>
      <w:ind w:left="420" w:leftChars="200"/>
    </w:pPr>
    <w:rPr>
      <w:sz w:val="16"/>
      <w:szCs w:val="16"/>
    </w:rPr>
  </w:style>
  <w:style w:type="paragraph" w:styleId="14">
    <w:name w:val="Normal (Web)"/>
    <w:basedOn w:val="1"/>
    <w:semiHidden/>
    <w:unhideWhenUsed/>
    <w:qFormat/>
    <w:uiPriority w:val="99"/>
    <w:rPr>
      <w:sz w:val="24"/>
    </w:rPr>
  </w:style>
  <w:style w:type="paragraph" w:styleId="15">
    <w:name w:val="annotation subject"/>
    <w:basedOn w:val="4"/>
    <w:next w:val="4"/>
    <w:link w:val="36"/>
    <w:semiHidden/>
    <w:unhideWhenUsed/>
    <w:qFormat/>
    <w:uiPriority w:val="99"/>
    <w:rPr>
      <w:b/>
      <w:bCs/>
    </w:rPr>
  </w:style>
  <w:style w:type="paragraph" w:styleId="16">
    <w:name w:val="Body Text First Indent"/>
    <w:basedOn w:val="5"/>
    <w:next w:val="1"/>
    <w:link w:val="34"/>
    <w:unhideWhenUsed/>
    <w:qFormat/>
    <w:uiPriority w:val="99"/>
    <w:pPr>
      <w:ind w:firstLine="420" w:firstLineChars="100"/>
    </w:pPr>
  </w:style>
  <w:style w:type="table" w:styleId="18">
    <w:name w:val="Table Grid"/>
    <w:basedOn w:val="1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0">
    <w:name w:val="annotation reference"/>
    <w:basedOn w:val="19"/>
    <w:semiHidden/>
    <w:unhideWhenUsed/>
    <w:qFormat/>
    <w:uiPriority w:val="99"/>
    <w:rPr>
      <w:sz w:val="21"/>
      <w:szCs w:val="21"/>
    </w:rPr>
  </w:style>
  <w:style w:type="character" w:customStyle="1" w:styleId="21">
    <w:name w:val="页眉 字符"/>
    <w:basedOn w:val="19"/>
    <w:link w:val="12"/>
    <w:semiHidden/>
    <w:qFormat/>
    <w:uiPriority w:val="99"/>
    <w:rPr>
      <w:sz w:val="18"/>
      <w:szCs w:val="18"/>
    </w:rPr>
  </w:style>
  <w:style w:type="character" w:customStyle="1" w:styleId="22">
    <w:name w:val="页脚 字符"/>
    <w:basedOn w:val="19"/>
    <w:link w:val="11"/>
    <w:semiHidden/>
    <w:qFormat/>
    <w:uiPriority w:val="99"/>
    <w:rPr>
      <w:sz w:val="18"/>
      <w:szCs w:val="18"/>
    </w:rPr>
  </w:style>
  <w:style w:type="character" w:customStyle="1" w:styleId="23">
    <w:name w:val="批注框文本 字符"/>
    <w:basedOn w:val="19"/>
    <w:link w:val="10"/>
    <w:semiHidden/>
    <w:qFormat/>
    <w:uiPriority w:val="99"/>
    <w:rPr>
      <w:sz w:val="18"/>
      <w:szCs w:val="18"/>
    </w:rPr>
  </w:style>
  <w:style w:type="paragraph" w:customStyle="1" w:styleId="24">
    <w:name w:val="列出段落1"/>
    <w:basedOn w:val="1"/>
    <w:unhideWhenUsed/>
    <w:qFormat/>
    <w:uiPriority w:val="99"/>
    <w:pPr>
      <w:ind w:firstLine="420" w:firstLineChars="200"/>
    </w:pPr>
  </w:style>
  <w:style w:type="paragraph" w:customStyle="1" w:styleId="25">
    <w:name w:val="Char Char Char1 Char"/>
    <w:basedOn w:val="1"/>
    <w:semiHidden/>
    <w:qFormat/>
    <w:uiPriority w:val="0"/>
    <w:rPr>
      <w:rFonts w:ascii="Times New Roman" w:hAnsi="Times New Roman" w:eastAsia="宋体" w:cs="Times New Roman"/>
      <w:szCs w:val="24"/>
    </w:rPr>
  </w:style>
  <w:style w:type="paragraph" w:customStyle="1" w:styleId="26">
    <w:name w:val="Char"/>
    <w:basedOn w:val="1"/>
    <w:qFormat/>
    <w:uiPriority w:val="0"/>
    <w:pPr>
      <w:snapToGrid w:val="0"/>
      <w:spacing w:line="440" w:lineRule="atLeast"/>
      <w:ind w:firstLine="200" w:firstLineChars="200"/>
    </w:pPr>
    <w:rPr>
      <w:rFonts w:ascii="Times New Roman" w:hAnsi="Times New Roman" w:eastAsia="宋体" w:cs="Times New Roman"/>
      <w:szCs w:val="24"/>
    </w:rPr>
  </w:style>
  <w:style w:type="paragraph" w:customStyle="1" w:styleId="27">
    <w:name w:val="表格填充项"/>
    <w:basedOn w:val="1"/>
    <w:qFormat/>
    <w:uiPriority w:val="0"/>
    <w:pPr>
      <w:spacing w:line="240" w:lineRule="atLeast"/>
      <w:jc w:val="center"/>
    </w:pPr>
    <w:rPr>
      <w:rFonts w:ascii="宋体" w:hAnsi="宋体" w:eastAsia="宋体" w:cs="Times New Roman"/>
      <w:b/>
      <w:szCs w:val="20"/>
    </w:rPr>
  </w:style>
  <w:style w:type="character" w:customStyle="1" w:styleId="28">
    <w:name w:val="正文文本缩进 2 字符"/>
    <w:basedOn w:val="19"/>
    <w:link w:val="9"/>
    <w:qFormat/>
    <w:uiPriority w:val="0"/>
    <w:rPr>
      <w:rFonts w:ascii="宋体" w:hAnsi="宋体"/>
      <w:kern w:val="2"/>
      <w:sz w:val="24"/>
      <w:szCs w:val="24"/>
    </w:rPr>
  </w:style>
  <w:style w:type="character" w:customStyle="1" w:styleId="29">
    <w:name w:val="正文文本缩进 3 字符"/>
    <w:basedOn w:val="19"/>
    <w:link w:val="13"/>
    <w:semiHidden/>
    <w:qFormat/>
    <w:uiPriority w:val="99"/>
    <w:rPr>
      <w:rFonts w:asciiTheme="minorHAnsi" w:hAnsiTheme="minorHAnsi" w:eastAsiaTheme="minorEastAsia" w:cstheme="minorBidi"/>
      <w:kern w:val="2"/>
      <w:sz w:val="16"/>
      <w:szCs w:val="16"/>
    </w:rPr>
  </w:style>
  <w:style w:type="character" w:customStyle="1" w:styleId="30">
    <w:name w:val="正文文本缩进 字符"/>
    <w:basedOn w:val="19"/>
    <w:link w:val="8"/>
    <w:semiHidden/>
    <w:qFormat/>
    <w:uiPriority w:val="99"/>
    <w:rPr>
      <w:rFonts w:asciiTheme="minorHAnsi" w:hAnsiTheme="minorHAnsi" w:eastAsiaTheme="minorEastAsia" w:cstheme="minorBidi"/>
      <w:kern w:val="2"/>
      <w:sz w:val="21"/>
      <w:szCs w:val="22"/>
    </w:rPr>
  </w:style>
  <w:style w:type="paragraph" w:customStyle="1" w:styleId="31">
    <w:name w:val="【表中文字】"/>
    <w:basedOn w:val="1"/>
    <w:link w:val="32"/>
    <w:qFormat/>
    <w:uiPriority w:val="0"/>
    <w:pPr>
      <w:jc w:val="center"/>
    </w:pPr>
    <w:rPr>
      <w:rFonts w:ascii="Times New Roman" w:hAnsi="Times New Roman" w:eastAsia="宋体" w:cs="Times New Roman"/>
      <w:szCs w:val="20"/>
    </w:rPr>
  </w:style>
  <w:style w:type="character" w:customStyle="1" w:styleId="32">
    <w:name w:val="【表中文字】 Char"/>
    <w:link w:val="31"/>
    <w:qFormat/>
    <w:locked/>
    <w:uiPriority w:val="0"/>
    <w:rPr>
      <w:rFonts w:ascii="Times New Roman" w:hAnsi="Times New Roman"/>
      <w:kern w:val="2"/>
      <w:sz w:val="21"/>
    </w:rPr>
  </w:style>
  <w:style w:type="character" w:customStyle="1" w:styleId="33">
    <w:name w:val="正文文本 字符"/>
    <w:basedOn w:val="19"/>
    <w:link w:val="5"/>
    <w:semiHidden/>
    <w:qFormat/>
    <w:uiPriority w:val="99"/>
    <w:rPr>
      <w:rFonts w:asciiTheme="minorHAnsi" w:hAnsiTheme="minorHAnsi" w:eastAsiaTheme="minorEastAsia" w:cstheme="minorBidi"/>
      <w:kern w:val="2"/>
      <w:sz w:val="21"/>
      <w:szCs w:val="22"/>
    </w:rPr>
  </w:style>
  <w:style w:type="character" w:customStyle="1" w:styleId="34">
    <w:name w:val="正文文本首行缩进 字符"/>
    <w:basedOn w:val="33"/>
    <w:link w:val="16"/>
    <w:qFormat/>
    <w:uiPriority w:val="99"/>
    <w:rPr>
      <w:rFonts w:asciiTheme="minorHAnsi" w:hAnsiTheme="minorHAnsi" w:eastAsiaTheme="minorEastAsia" w:cstheme="minorBidi"/>
      <w:kern w:val="2"/>
      <w:sz w:val="21"/>
      <w:szCs w:val="22"/>
    </w:rPr>
  </w:style>
  <w:style w:type="character" w:customStyle="1" w:styleId="35">
    <w:name w:val="批注文字 字符"/>
    <w:basedOn w:val="19"/>
    <w:link w:val="4"/>
    <w:semiHidden/>
    <w:qFormat/>
    <w:uiPriority w:val="99"/>
    <w:rPr>
      <w:rFonts w:asciiTheme="minorHAnsi" w:hAnsiTheme="minorHAnsi" w:eastAsiaTheme="minorEastAsia" w:cstheme="minorBidi"/>
      <w:kern w:val="2"/>
      <w:sz w:val="21"/>
      <w:szCs w:val="22"/>
    </w:rPr>
  </w:style>
  <w:style w:type="character" w:customStyle="1" w:styleId="36">
    <w:name w:val="批注主题 字符"/>
    <w:basedOn w:val="35"/>
    <w:link w:val="15"/>
    <w:semiHidden/>
    <w:qFormat/>
    <w:uiPriority w:val="99"/>
    <w:rPr>
      <w:rFonts w:asciiTheme="minorHAnsi" w:hAnsiTheme="minorHAnsi" w:eastAsiaTheme="minorEastAsia" w:cstheme="minorBidi"/>
      <w:b/>
      <w:bCs/>
      <w:kern w:val="2"/>
      <w:sz w:val="21"/>
      <w:szCs w:val="22"/>
    </w:rPr>
  </w:style>
  <w:style w:type="character" w:customStyle="1" w:styleId="37">
    <w:name w:val="NormalCharacter"/>
    <w:link w:val="1"/>
    <w:qFormat/>
    <w:uiPriority w:val="0"/>
    <w:rPr>
      <w:rFonts w:asciiTheme="minorHAnsi" w:hAnsiTheme="minorHAnsi" w:eastAsiaTheme="minorEastAsia" w:cstheme="minorBidi"/>
      <w:kern w:val="2"/>
      <w:sz w:val="21"/>
      <w:szCs w:val="22"/>
      <w:lang w:val="en-US" w:eastAsia="zh-CN" w:bidi="ar-SA"/>
    </w:rPr>
  </w:style>
  <w:style w:type="paragraph" w:customStyle="1" w:styleId="38">
    <w:name w:val="报告表正文"/>
    <w:basedOn w:val="1"/>
    <w:qFormat/>
    <w:uiPriority w:val="0"/>
    <w:pPr>
      <w:wordWrap w:val="0"/>
      <w:topLinePunct/>
      <w:adjustRightInd w:val="0"/>
      <w:spacing w:line="360" w:lineRule="auto"/>
      <w:ind w:left="0" w:right="0" w:firstLine="488"/>
      <w:jc w:val="left"/>
      <w:textAlignment w:val="baseline"/>
    </w:pPr>
    <w:rPr>
      <w:rFonts w:eastAsia="Times New Roman"/>
      <w:kern w:val="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B4218-A07B-4D94-B888-C395B0A91BA7}">
  <ds:schemaRefs/>
</ds:datastoreItem>
</file>

<file path=docProps/app.xml><?xml version="1.0" encoding="utf-8"?>
<Properties xmlns="http://schemas.openxmlformats.org/officeDocument/2006/extended-properties" xmlns:vt="http://schemas.openxmlformats.org/officeDocument/2006/docPropsVTypes">
  <Template>Normal.dotm</Template>
  <Pages>2</Pages>
  <Words>701</Words>
  <Characters>735</Characters>
  <Lines>7</Lines>
  <Paragraphs>2</Paragraphs>
  <TotalTime>14</TotalTime>
  <ScaleCrop>false</ScaleCrop>
  <LinksUpToDate>false</LinksUpToDate>
  <CharactersWithSpaces>735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2017-04-13T00:50:00Z</dcterms:created>
  <dc:creator>admin</dc:creator>
  <cp:lastModifiedBy>111</cp:lastModifiedBy>
  <cp:lastPrinted>2023-04-30T13:32:00Z</cp:lastPrinted>
  <dcterms:modified xsi:type="dcterms:W3CDTF">2023-05-06T07:17:22Z</dcterms:modified>
  <cp:revision>131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98D794B4B1424355952A35B0CEF92BF0</vt:lpwstr>
  </property>
</Properties>
</file>