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C395A">
      <w:pPr>
        <w:widowControl w:val="0"/>
        <w:spacing w:line="360" w:lineRule="auto"/>
        <w:ind w:left="0" w:leftChars="0"/>
        <w:jc w:val="center"/>
        <w:rPr>
          <w:rFonts w:hint="eastAsia" w:ascii="黑体" w:hAnsi="黑体" w:eastAsia="黑体" w:cs="Times New Roman"/>
          <w:kern w:val="2"/>
          <w:sz w:val="48"/>
          <w:szCs w:val="48"/>
          <w:lang w:val="en-US" w:eastAsia="zh-CN" w:bidi="ar-SA"/>
        </w:rPr>
      </w:pPr>
      <w:bookmarkStart w:id="438" w:name="_GoBack"/>
      <w:bookmarkEnd w:id="438"/>
    </w:p>
    <w:p w14:paraId="6F72909A">
      <w:pPr>
        <w:widowControl w:val="0"/>
        <w:spacing w:line="360" w:lineRule="auto"/>
        <w:ind w:left="0" w:leftChars="0"/>
        <w:jc w:val="center"/>
        <w:rPr>
          <w:rFonts w:hint="eastAsia" w:ascii="黑体" w:hAnsi="黑体" w:eastAsia="黑体" w:cs="Times New Roman"/>
          <w:kern w:val="2"/>
          <w:sz w:val="48"/>
          <w:szCs w:val="48"/>
          <w:lang w:val="en-US" w:eastAsia="zh-CN" w:bidi="ar-SA"/>
        </w:rPr>
      </w:pPr>
    </w:p>
    <w:p w14:paraId="0244D81C">
      <w:pPr>
        <w:widowControl w:val="0"/>
        <w:spacing w:line="360" w:lineRule="auto"/>
        <w:ind w:left="0" w:leftChars="0"/>
        <w:jc w:val="center"/>
        <w:rPr>
          <w:rFonts w:hint="eastAsia" w:ascii="黑体" w:hAnsi="黑体" w:eastAsia="黑体" w:cs="Times New Roman"/>
          <w:kern w:val="2"/>
          <w:sz w:val="48"/>
          <w:szCs w:val="48"/>
          <w:lang w:val="en-US" w:eastAsia="zh-CN" w:bidi="ar-SA"/>
        </w:rPr>
      </w:pPr>
    </w:p>
    <w:p w14:paraId="6C9EA72D">
      <w:pPr>
        <w:widowControl w:val="0"/>
        <w:spacing w:line="360" w:lineRule="auto"/>
        <w:ind w:left="0" w:leftChars="0"/>
        <w:jc w:val="center"/>
        <w:rPr>
          <w:rFonts w:hint="eastAsia" w:ascii="黑体" w:hAnsi="黑体" w:eastAsia="黑体" w:cs="Times New Roman"/>
          <w:kern w:val="2"/>
          <w:sz w:val="48"/>
          <w:szCs w:val="48"/>
          <w:lang w:val="en-US" w:eastAsia="zh-CN" w:bidi="ar-SA"/>
        </w:rPr>
      </w:pPr>
    </w:p>
    <w:p w14:paraId="2E4114D2">
      <w:pPr>
        <w:widowControl w:val="0"/>
        <w:spacing w:line="360" w:lineRule="auto"/>
        <w:ind w:left="0" w:leftChars="0"/>
        <w:jc w:val="center"/>
        <w:rPr>
          <w:rFonts w:hint="eastAsia" w:ascii="黑体" w:hAnsi="黑体" w:eastAsia="黑体" w:cs="Times New Roman"/>
          <w:kern w:val="2"/>
          <w:sz w:val="48"/>
          <w:szCs w:val="48"/>
          <w:lang w:val="en-US" w:eastAsia="zh-CN" w:bidi="ar-SA"/>
        </w:rPr>
      </w:pPr>
    </w:p>
    <w:p w14:paraId="4C971CF7">
      <w:pPr>
        <w:widowControl w:val="0"/>
        <w:spacing w:line="480" w:lineRule="auto"/>
        <w:ind w:left="0" w:leftChars="0"/>
        <w:jc w:val="center"/>
        <w:rPr>
          <w:rFonts w:hint="eastAsia" w:ascii="黑体" w:hAnsi="黑体" w:eastAsia="黑体" w:cs="Times New Roman"/>
          <w:kern w:val="2"/>
          <w:sz w:val="48"/>
          <w:szCs w:val="48"/>
          <w:lang w:val="en-US" w:eastAsia="zh-CN" w:bidi="ar-SA"/>
        </w:rPr>
      </w:pPr>
      <w:r>
        <w:rPr>
          <w:rFonts w:hint="eastAsia" w:ascii="黑体" w:hAnsi="黑体" w:eastAsia="黑体" w:cs="Times New Roman"/>
          <w:kern w:val="2"/>
          <w:sz w:val="48"/>
          <w:szCs w:val="48"/>
          <w:lang w:val="en-US" w:eastAsia="zh-CN" w:bidi="ar-SA"/>
        </w:rPr>
        <w:t>友好区养殖水域滩涂规划</w:t>
      </w:r>
    </w:p>
    <w:p w14:paraId="315F94C5">
      <w:pPr>
        <w:widowControl w:val="0"/>
        <w:spacing w:line="480" w:lineRule="auto"/>
        <w:ind w:left="0" w:leftChars="0"/>
        <w:jc w:val="center"/>
        <w:rPr>
          <w:rFonts w:hint="eastAsia" w:ascii="黑体" w:hAnsi="黑体" w:eastAsia="黑体" w:cs="Times New Roman"/>
          <w:kern w:val="2"/>
          <w:sz w:val="48"/>
          <w:szCs w:val="48"/>
          <w:lang w:val="en-US" w:eastAsia="zh-CN" w:bidi="ar-SA"/>
        </w:rPr>
      </w:pPr>
    </w:p>
    <w:p w14:paraId="72F0E159">
      <w:pPr>
        <w:widowControl w:val="0"/>
        <w:spacing w:line="480" w:lineRule="auto"/>
        <w:ind w:left="0" w:leftChars="0"/>
        <w:jc w:val="center"/>
        <w:rPr>
          <w:rFonts w:hint="eastAsia" w:ascii="黑体" w:hAnsi="黑体" w:eastAsia="黑体" w:cs="Times New Roman"/>
          <w:kern w:val="2"/>
          <w:sz w:val="48"/>
          <w:szCs w:val="48"/>
          <w:lang w:val="en-US" w:eastAsia="zh-CN" w:bidi="ar-SA"/>
        </w:rPr>
      </w:pPr>
      <w:r>
        <w:rPr>
          <w:rFonts w:hint="eastAsia" w:ascii="黑体" w:hAnsi="黑体" w:eastAsia="黑体" w:cs="Times New Roman"/>
          <w:kern w:val="2"/>
          <w:sz w:val="48"/>
          <w:szCs w:val="48"/>
          <w:lang w:val="en-US" w:eastAsia="zh-CN" w:bidi="ar-SA"/>
        </w:rPr>
        <w:t>（2025—2030）</w:t>
      </w:r>
    </w:p>
    <w:p w14:paraId="0CDA9FAF">
      <w:pPr>
        <w:widowControl w:val="0"/>
        <w:spacing w:line="360" w:lineRule="auto"/>
        <w:ind w:left="0" w:leftChars="0"/>
        <w:jc w:val="center"/>
        <w:rPr>
          <w:rFonts w:hint="eastAsia" w:ascii="黑体" w:hAnsi="黑体" w:eastAsia="黑体" w:cs="Times New Roman"/>
          <w:kern w:val="2"/>
          <w:sz w:val="48"/>
          <w:szCs w:val="48"/>
          <w:lang w:val="en-US" w:eastAsia="zh-CN" w:bidi="ar-SA"/>
        </w:rPr>
      </w:pPr>
    </w:p>
    <w:p w14:paraId="49195A60">
      <w:pPr>
        <w:widowControl w:val="0"/>
        <w:spacing w:line="360" w:lineRule="auto"/>
        <w:jc w:val="center"/>
        <w:rPr>
          <w:rFonts w:hint="eastAsia" w:ascii="黑体" w:hAnsi="黑体" w:eastAsia="黑体" w:cs="Times New Roman"/>
          <w:kern w:val="2"/>
          <w:sz w:val="32"/>
          <w:szCs w:val="32"/>
          <w:lang w:val="en-US" w:eastAsia="zh-CN" w:bidi="ar-SA"/>
        </w:rPr>
      </w:pPr>
    </w:p>
    <w:p w14:paraId="64BC22F1">
      <w:pPr>
        <w:widowControl w:val="0"/>
        <w:spacing w:line="360" w:lineRule="auto"/>
        <w:jc w:val="center"/>
        <w:rPr>
          <w:rFonts w:hint="eastAsia" w:ascii="黑体" w:hAnsi="黑体" w:eastAsia="黑体" w:cs="Times New Roman"/>
          <w:kern w:val="2"/>
          <w:sz w:val="32"/>
          <w:szCs w:val="32"/>
          <w:lang w:val="en-US" w:eastAsia="zh-CN" w:bidi="ar-SA"/>
        </w:rPr>
      </w:pPr>
    </w:p>
    <w:p w14:paraId="18F61001">
      <w:pPr>
        <w:widowControl w:val="0"/>
        <w:spacing w:line="360" w:lineRule="auto"/>
        <w:jc w:val="center"/>
        <w:rPr>
          <w:rFonts w:hint="eastAsia" w:ascii="黑体" w:hAnsi="黑体" w:eastAsia="黑体" w:cs="Times New Roman"/>
          <w:kern w:val="2"/>
          <w:sz w:val="32"/>
          <w:szCs w:val="32"/>
          <w:lang w:val="en-US" w:eastAsia="zh-CN" w:bidi="ar-SA"/>
        </w:rPr>
      </w:pPr>
    </w:p>
    <w:p w14:paraId="4B342D8C">
      <w:pPr>
        <w:widowControl w:val="0"/>
        <w:spacing w:line="360" w:lineRule="auto"/>
        <w:jc w:val="center"/>
        <w:rPr>
          <w:rFonts w:hint="eastAsia" w:ascii="黑体" w:hAnsi="黑体" w:eastAsia="黑体" w:cs="Times New Roman"/>
          <w:kern w:val="2"/>
          <w:sz w:val="32"/>
          <w:szCs w:val="32"/>
          <w:lang w:val="en-US" w:eastAsia="zh-CN" w:bidi="ar-SA"/>
        </w:rPr>
      </w:pPr>
    </w:p>
    <w:p w14:paraId="5C40849C">
      <w:pPr>
        <w:widowControl w:val="0"/>
        <w:spacing w:line="360" w:lineRule="auto"/>
        <w:jc w:val="center"/>
        <w:rPr>
          <w:rFonts w:hint="eastAsia" w:ascii="黑体" w:hAnsi="黑体" w:eastAsia="黑体" w:cs="Times New Roman"/>
          <w:kern w:val="2"/>
          <w:sz w:val="32"/>
          <w:szCs w:val="32"/>
          <w:lang w:val="en-US" w:eastAsia="zh-CN" w:bidi="ar-SA"/>
        </w:rPr>
      </w:pPr>
    </w:p>
    <w:p w14:paraId="4A251564">
      <w:pPr>
        <w:widowControl w:val="0"/>
        <w:spacing w:line="360" w:lineRule="auto"/>
        <w:jc w:val="center"/>
        <w:rPr>
          <w:rFonts w:hint="eastAsia" w:ascii="黑体" w:hAnsi="黑体" w:eastAsia="黑体" w:cs="Times New Roman"/>
          <w:kern w:val="2"/>
          <w:sz w:val="32"/>
          <w:szCs w:val="32"/>
          <w:lang w:val="en-US" w:eastAsia="zh-CN" w:bidi="ar-SA"/>
        </w:rPr>
      </w:pPr>
    </w:p>
    <w:p w14:paraId="28DAF48F">
      <w:pPr>
        <w:widowControl w:val="0"/>
        <w:spacing w:line="360" w:lineRule="auto"/>
        <w:jc w:val="center"/>
        <w:rPr>
          <w:rFonts w:hint="eastAsia" w:ascii="黑体" w:hAnsi="黑体" w:eastAsia="黑体" w:cs="Times New Roman"/>
          <w:kern w:val="2"/>
          <w:sz w:val="32"/>
          <w:szCs w:val="32"/>
          <w:lang w:val="en-US" w:eastAsia="zh-CN" w:bidi="ar-SA"/>
        </w:rPr>
      </w:pPr>
    </w:p>
    <w:p w14:paraId="5B24B53B">
      <w:pPr>
        <w:widowControl w:val="0"/>
        <w:spacing w:line="360" w:lineRule="auto"/>
        <w:jc w:val="center"/>
        <w:rPr>
          <w:rFonts w:hint="eastAsia" w:ascii="黑体" w:hAnsi="黑体" w:eastAsia="黑体" w:cs="Times New Roman"/>
          <w:kern w:val="2"/>
          <w:sz w:val="32"/>
          <w:szCs w:val="32"/>
          <w:lang w:val="en-US" w:eastAsia="zh-CN" w:bidi="ar-SA"/>
        </w:rPr>
      </w:pPr>
    </w:p>
    <w:p w14:paraId="352C5F32">
      <w:pPr>
        <w:widowControl w:val="0"/>
        <w:spacing w:line="360" w:lineRule="auto"/>
        <w:jc w:val="both"/>
        <w:rPr>
          <w:rFonts w:hint="eastAsia" w:ascii="黑体" w:hAnsi="黑体" w:eastAsia="黑体" w:cs="Times New Roman"/>
          <w:kern w:val="2"/>
          <w:sz w:val="32"/>
          <w:szCs w:val="32"/>
          <w:lang w:val="en-US" w:eastAsia="zh-CN" w:bidi="ar-SA"/>
        </w:rPr>
      </w:pPr>
    </w:p>
    <w:p w14:paraId="5F5FC35C">
      <w:pPr>
        <w:widowControl w:val="0"/>
        <w:spacing w:line="360" w:lineRule="auto"/>
        <w:jc w:val="center"/>
        <w:rPr>
          <w:rFonts w:hint="eastAsia" w:ascii="黑体" w:hAnsi="黑体" w:eastAsia="黑体" w:cs="Times New Roman"/>
          <w:kern w:val="2"/>
          <w:sz w:val="32"/>
          <w:szCs w:val="32"/>
          <w:lang w:val="en-US" w:eastAsia="zh-CN" w:bidi="ar-SA"/>
        </w:rPr>
      </w:pPr>
    </w:p>
    <w:p w14:paraId="4827B64E">
      <w:pPr>
        <w:widowControl w:val="0"/>
        <w:spacing w:line="360" w:lineRule="auto"/>
        <w:jc w:val="center"/>
        <w:rPr>
          <w:rFonts w:hint="default"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友好区农业农村局</w:t>
      </w:r>
    </w:p>
    <w:p w14:paraId="53394D7A">
      <w:pPr>
        <w:widowControl w:val="0"/>
        <w:spacing w:line="360" w:lineRule="auto"/>
        <w:jc w:val="center"/>
        <w:rPr>
          <w:rFonts w:hint="eastAsia" w:ascii="黑体" w:hAnsi="黑体" w:eastAsia="黑体" w:cs="Times New Roman"/>
          <w:kern w:val="2"/>
          <w:sz w:val="32"/>
          <w:szCs w:val="32"/>
          <w:highlight w:val="none"/>
          <w:lang w:val="en-US" w:eastAsia="zh-CN" w:bidi="ar-SA"/>
        </w:rPr>
        <w:sectPr>
          <w:footerReference r:id="rId6" w:type="first"/>
          <w:footerReference r:id="rId5" w:type="default"/>
          <w:pgSz w:w="11906" w:h="16838"/>
          <w:pgMar w:top="1531" w:right="1247" w:bottom="1417" w:left="1417" w:header="851" w:footer="992" w:gutter="0"/>
          <w:pgBorders>
            <w:top w:val="none" w:sz="0" w:space="0"/>
            <w:left w:val="none" w:sz="0" w:space="0"/>
            <w:bottom w:val="none" w:sz="0" w:space="0"/>
            <w:right w:val="none" w:sz="0" w:space="0"/>
          </w:pgBorders>
          <w:pgNumType w:fmt="decimal" w:start="1"/>
          <w:cols w:space="425" w:num="1"/>
          <w:rtlGutter w:val="0"/>
          <w:docGrid w:type="lines" w:linePitch="312" w:charSpace="0"/>
        </w:sectPr>
      </w:pPr>
      <w:r>
        <w:rPr>
          <w:rFonts w:hint="eastAsia" w:ascii="黑体" w:hAnsi="黑体" w:eastAsia="黑体" w:cs="Times New Roman"/>
          <w:kern w:val="2"/>
          <w:sz w:val="32"/>
          <w:szCs w:val="32"/>
          <w:highlight w:val="none"/>
          <w:lang w:val="en-US" w:eastAsia="zh-CN" w:bidi="ar-SA"/>
        </w:rPr>
        <w:t>二〇二六年五月</w:t>
      </w:r>
    </w:p>
    <w:p w14:paraId="1E0BB5D5">
      <w:pPr>
        <w:keepNext w:val="0"/>
        <w:keepLines w:val="0"/>
        <w:pageBreakBefore w:val="0"/>
        <w:widowControl w:val="0"/>
        <w:tabs>
          <w:tab w:val="left" w:pos="993"/>
        </w:tabs>
        <w:kinsoku/>
        <w:wordWrap/>
        <w:overflowPunct/>
        <w:topLinePunct w:val="0"/>
        <w:autoSpaceDE/>
        <w:autoSpaceDN/>
        <w:adjustRightInd/>
        <w:snapToGrid/>
        <w:spacing w:line="680" w:lineRule="exact"/>
        <w:ind w:left="0" w:leftChars="0"/>
        <w:jc w:val="center"/>
        <w:textAlignment w:val="auto"/>
        <w:rPr>
          <w:rFonts w:hint="eastAsia" w:ascii="微软雅黑" w:hAnsi="微软雅黑" w:eastAsia="微软雅黑" w:cs="微软雅黑"/>
          <w:b w:val="0"/>
          <w:bCs/>
          <w:spacing w:val="-11"/>
          <w:kern w:val="2"/>
          <w:sz w:val="44"/>
          <w:szCs w:val="44"/>
          <w:lang w:val="en-US" w:eastAsia="zh-CN" w:bidi="ar-SA"/>
        </w:rPr>
      </w:pPr>
    </w:p>
    <w:p w14:paraId="4855A905">
      <w:pPr>
        <w:keepNext w:val="0"/>
        <w:keepLines w:val="0"/>
        <w:pageBreakBefore w:val="0"/>
        <w:widowControl w:val="0"/>
        <w:tabs>
          <w:tab w:val="left" w:pos="993"/>
        </w:tabs>
        <w:kinsoku/>
        <w:wordWrap/>
        <w:overflowPunct/>
        <w:topLinePunct w:val="0"/>
        <w:autoSpaceDE/>
        <w:autoSpaceDN/>
        <w:adjustRightInd/>
        <w:snapToGrid/>
        <w:spacing w:line="680" w:lineRule="exact"/>
        <w:ind w:left="0" w:leftChars="0"/>
        <w:jc w:val="center"/>
        <w:textAlignment w:val="auto"/>
        <w:rPr>
          <w:rFonts w:hint="eastAsia" w:ascii="微软雅黑" w:hAnsi="微软雅黑" w:eastAsia="微软雅黑" w:cs="微软雅黑"/>
          <w:b w:val="0"/>
          <w:bCs/>
          <w:spacing w:val="-11"/>
          <w:kern w:val="2"/>
          <w:sz w:val="44"/>
          <w:szCs w:val="44"/>
          <w:lang w:val="en-US" w:eastAsia="zh-CN" w:bidi="ar-SA"/>
        </w:rPr>
      </w:pPr>
      <w:r>
        <w:rPr>
          <w:rFonts w:hint="eastAsia" w:ascii="微软雅黑" w:hAnsi="微软雅黑" w:eastAsia="微软雅黑" w:cs="微软雅黑"/>
          <w:b w:val="0"/>
          <w:bCs/>
          <w:spacing w:val="-11"/>
          <w:kern w:val="2"/>
          <w:sz w:val="44"/>
          <w:szCs w:val="44"/>
          <w:lang w:val="en-US" w:eastAsia="zh-CN" w:bidi="ar-SA"/>
        </w:rPr>
        <w:t>友好区养殖水域滩涂规划（2025—2030）</w:t>
      </w:r>
    </w:p>
    <w:p w14:paraId="06970FE5">
      <w:pPr>
        <w:keepNext w:val="0"/>
        <w:keepLines w:val="0"/>
        <w:pageBreakBefore w:val="0"/>
        <w:widowControl w:val="0"/>
        <w:tabs>
          <w:tab w:val="left" w:pos="993"/>
        </w:tabs>
        <w:kinsoku/>
        <w:wordWrap/>
        <w:overflowPunct/>
        <w:topLinePunct w:val="0"/>
        <w:autoSpaceDE/>
        <w:autoSpaceDN/>
        <w:adjustRightInd/>
        <w:snapToGrid/>
        <w:spacing w:line="680" w:lineRule="exact"/>
        <w:ind w:left="0" w:leftChars="0"/>
        <w:jc w:val="center"/>
        <w:textAlignment w:val="auto"/>
        <w:rPr>
          <w:rFonts w:hint="default" w:ascii="微软雅黑" w:hAnsi="微软雅黑" w:eastAsia="微软雅黑" w:cs="微软雅黑"/>
          <w:b w:val="0"/>
          <w:bCs/>
          <w:kern w:val="2"/>
          <w:sz w:val="44"/>
          <w:szCs w:val="44"/>
          <w:lang w:val="en-US" w:eastAsia="zh-CN" w:bidi="ar-SA"/>
        </w:rPr>
      </w:pPr>
      <w:r>
        <w:rPr>
          <w:rFonts w:hint="eastAsia" w:ascii="微软雅黑" w:hAnsi="微软雅黑" w:eastAsia="微软雅黑" w:cs="微软雅黑"/>
          <w:b w:val="0"/>
          <w:bCs/>
          <w:kern w:val="2"/>
          <w:sz w:val="44"/>
          <w:szCs w:val="44"/>
          <w:lang w:val="en-US" w:eastAsia="zh-CN" w:bidi="ar-SA"/>
        </w:rPr>
        <w:t>编制工作领导小组</w:t>
      </w:r>
    </w:p>
    <w:p w14:paraId="627C4FA7">
      <w:pPr>
        <w:widowControl w:val="0"/>
        <w:spacing w:line="360" w:lineRule="auto"/>
        <w:ind w:firstLine="560" w:firstLineChars="200"/>
        <w:jc w:val="both"/>
        <w:rPr>
          <w:rFonts w:hint="eastAsia" w:ascii="仿宋" w:hAnsi="仿宋" w:eastAsia="仿宋" w:cs="Times New Roman"/>
          <w:kern w:val="2"/>
          <w:sz w:val="28"/>
          <w:szCs w:val="28"/>
          <w:lang w:val="en-US" w:eastAsia="zh-CN" w:bidi="ar-SA"/>
        </w:rPr>
      </w:pPr>
    </w:p>
    <w:p w14:paraId="1B119B8F">
      <w:pPr>
        <w:widowControl w:val="0"/>
        <w:spacing w:line="360" w:lineRule="auto"/>
        <w:ind w:leftChars="0" w:firstLine="643" w:firstLineChars="200"/>
        <w:jc w:val="both"/>
        <w:rPr>
          <w:rFonts w:hint="eastAsia" w:ascii="仿宋_GB2312" w:hAnsi="仿宋_GB2312" w:eastAsia="仿宋_GB2312" w:cs="仿宋_GB2312"/>
          <w:b/>
          <w:bCs/>
          <w:kern w:val="2"/>
          <w:sz w:val="32"/>
          <w:szCs w:val="32"/>
          <w:lang w:val="en-US" w:eastAsia="zh-CN" w:bidi="ar-SA"/>
        </w:rPr>
      </w:pPr>
    </w:p>
    <w:p w14:paraId="4788D93F">
      <w:pPr>
        <w:widowControl w:val="0"/>
        <w:spacing w:line="360" w:lineRule="auto"/>
        <w:ind w:leftChars="0"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组  长：杨丰君 区农业农村局局长  </w:t>
      </w:r>
    </w:p>
    <w:p w14:paraId="746CB8E3">
      <w:pPr>
        <w:widowControl w:val="0"/>
        <w:spacing w:line="360" w:lineRule="auto"/>
        <w:ind w:leftChars="0" w:firstLine="643"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副组长：孙泰   区农业农村局副局长  </w:t>
      </w:r>
    </w:p>
    <w:p w14:paraId="1F0694D0">
      <w:pPr>
        <w:widowControl w:val="0"/>
        <w:tabs>
          <w:tab w:val="left" w:pos="993"/>
        </w:tabs>
        <w:spacing w:line="360" w:lineRule="auto"/>
        <w:ind w:left="0" w:leftChars="0"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成  员：李维星 区农业综合服务中心主任</w:t>
      </w:r>
    </w:p>
    <w:p w14:paraId="7B635AD5">
      <w:pPr>
        <w:widowControl w:val="0"/>
        <w:tabs>
          <w:tab w:val="left" w:pos="993"/>
        </w:tabs>
        <w:spacing w:line="360" w:lineRule="auto"/>
        <w:ind w:left="0" w:leftChars="0" w:firstLine="643" w:firstLineChars="200"/>
        <w:jc w:val="both"/>
        <w:rPr>
          <w:rFonts w:hint="eastAsia" w:ascii="仿宋" w:hAnsi="仿宋" w:eastAsia="仿宋" w:cs="Times New Roman"/>
          <w:b/>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        赵健 区农业综合服务中心科员</w:t>
      </w:r>
      <w:r>
        <w:rPr>
          <w:rFonts w:hint="eastAsia" w:ascii="仿宋" w:hAnsi="仿宋" w:eastAsia="仿宋" w:cs="Times New Roman"/>
          <w:b/>
          <w:kern w:val="2"/>
          <w:sz w:val="32"/>
          <w:szCs w:val="32"/>
          <w:lang w:val="en-US" w:eastAsia="zh-CN" w:bidi="ar-SA"/>
        </w:rPr>
        <w:t xml:space="preserve">  </w:t>
      </w:r>
    </w:p>
    <w:p w14:paraId="678BD390">
      <w:pPr>
        <w:widowControl w:val="0"/>
        <w:tabs>
          <w:tab w:val="left" w:pos="993"/>
        </w:tabs>
        <w:spacing w:line="360" w:lineRule="auto"/>
        <w:ind w:left="0" w:leftChars="0" w:firstLine="643" w:firstLineChars="200"/>
        <w:jc w:val="both"/>
        <w:rPr>
          <w:rFonts w:hint="eastAsia" w:ascii="仿宋" w:hAnsi="仿宋" w:eastAsia="仿宋" w:cs="Times New Roman"/>
          <w:b/>
          <w:kern w:val="2"/>
          <w:sz w:val="32"/>
          <w:szCs w:val="32"/>
          <w:lang w:val="en-US" w:eastAsia="zh-CN" w:bidi="ar-SA"/>
        </w:rPr>
      </w:pPr>
    </w:p>
    <w:p w14:paraId="62A5702D">
      <w:pPr>
        <w:widowControl w:val="0"/>
        <w:tabs>
          <w:tab w:val="left" w:pos="993"/>
        </w:tabs>
        <w:spacing w:line="360" w:lineRule="auto"/>
        <w:ind w:left="0" w:leftChars="0" w:firstLine="643" w:firstLineChars="200"/>
        <w:jc w:val="both"/>
        <w:rPr>
          <w:rFonts w:hint="eastAsia" w:ascii="仿宋" w:hAnsi="仿宋" w:eastAsia="仿宋" w:cs="Times New Roman"/>
          <w:b/>
          <w:kern w:val="2"/>
          <w:sz w:val="32"/>
          <w:szCs w:val="32"/>
          <w:lang w:val="en-US" w:eastAsia="zh-CN" w:bidi="ar-SA"/>
        </w:rPr>
      </w:pPr>
    </w:p>
    <w:p w14:paraId="38F5F318">
      <w:pPr>
        <w:widowControl w:val="0"/>
        <w:tabs>
          <w:tab w:val="left" w:pos="993"/>
        </w:tabs>
        <w:spacing w:line="360" w:lineRule="auto"/>
        <w:ind w:left="0" w:leftChars="0" w:firstLine="643" w:firstLineChars="200"/>
        <w:jc w:val="both"/>
        <w:rPr>
          <w:rFonts w:hint="eastAsia" w:ascii="仿宋" w:hAnsi="仿宋" w:eastAsia="仿宋" w:cs="Times New Roman"/>
          <w:b/>
          <w:kern w:val="2"/>
          <w:sz w:val="32"/>
          <w:szCs w:val="32"/>
          <w:lang w:val="en-US" w:eastAsia="zh-CN" w:bidi="ar-SA"/>
        </w:rPr>
        <w:sectPr>
          <w:footerReference r:id="rId7" w:type="default"/>
          <w:pgSz w:w="11906" w:h="16838"/>
          <w:pgMar w:top="1531" w:right="1247" w:bottom="1417" w:left="1417" w:header="851" w:footer="992" w:gutter="0"/>
          <w:pgBorders>
            <w:top w:val="none" w:sz="0" w:space="0"/>
            <w:left w:val="none" w:sz="0" w:space="0"/>
            <w:bottom w:val="none" w:sz="0" w:space="0"/>
            <w:right w:val="none" w:sz="0" w:space="0"/>
          </w:pgBorders>
          <w:pgNumType w:fmt="decimal" w:start="1"/>
          <w:cols w:space="425" w:num="1"/>
          <w:rtlGutter w:val="0"/>
          <w:docGrid w:type="lines" w:linePitch="312" w:charSpace="0"/>
        </w:sectPr>
      </w:pPr>
    </w:p>
    <w:p w14:paraId="4E0BDE0E">
      <w:pPr>
        <w:keepNext w:val="0"/>
        <w:keepLines w:val="0"/>
        <w:pageBreakBefore w:val="0"/>
        <w:widowControl w:val="0"/>
        <w:tabs>
          <w:tab w:val="left" w:pos="993"/>
        </w:tabs>
        <w:kinsoku/>
        <w:wordWrap/>
        <w:overflowPunct/>
        <w:topLinePunct w:val="0"/>
        <w:autoSpaceDE/>
        <w:autoSpaceDN/>
        <w:adjustRightInd/>
        <w:snapToGrid/>
        <w:spacing w:line="680" w:lineRule="exact"/>
        <w:ind w:left="0" w:leftChars="0"/>
        <w:jc w:val="center"/>
        <w:textAlignment w:val="auto"/>
        <w:rPr>
          <w:rFonts w:hint="eastAsia" w:ascii="微软雅黑" w:hAnsi="微软雅黑" w:eastAsia="微软雅黑" w:cs="微软雅黑"/>
          <w:b w:val="0"/>
          <w:bCs/>
          <w:spacing w:val="-11"/>
          <w:kern w:val="2"/>
          <w:sz w:val="44"/>
          <w:szCs w:val="44"/>
          <w:lang w:val="en-US" w:eastAsia="zh-CN" w:bidi="ar-SA"/>
        </w:rPr>
      </w:pPr>
    </w:p>
    <w:p w14:paraId="593451DF">
      <w:pPr>
        <w:keepNext w:val="0"/>
        <w:keepLines w:val="0"/>
        <w:pageBreakBefore w:val="0"/>
        <w:widowControl w:val="0"/>
        <w:tabs>
          <w:tab w:val="left" w:pos="993"/>
        </w:tabs>
        <w:kinsoku/>
        <w:wordWrap/>
        <w:overflowPunct/>
        <w:topLinePunct w:val="0"/>
        <w:autoSpaceDE/>
        <w:autoSpaceDN/>
        <w:adjustRightInd/>
        <w:snapToGrid/>
        <w:spacing w:line="680" w:lineRule="exact"/>
        <w:ind w:left="0" w:leftChars="0"/>
        <w:jc w:val="center"/>
        <w:textAlignment w:val="auto"/>
        <w:rPr>
          <w:rFonts w:hint="eastAsia" w:ascii="微软雅黑" w:hAnsi="微软雅黑" w:eastAsia="微软雅黑" w:cs="微软雅黑"/>
          <w:b w:val="0"/>
          <w:bCs/>
          <w:spacing w:val="-11"/>
          <w:kern w:val="2"/>
          <w:sz w:val="44"/>
          <w:szCs w:val="44"/>
          <w:lang w:val="en-US" w:eastAsia="zh-CN" w:bidi="ar-SA"/>
        </w:rPr>
      </w:pPr>
      <w:r>
        <w:rPr>
          <w:rFonts w:hint="eastAsia" w:ascii="微软雅黑" w:hAnsi="微软雅黑" w:eastAsia="微软雅黑" w:cs="微软雅黑"/>
          <w:b w:val="0"/>
          <w:bCs/>
          <w:spacing w:val="-11"/>
          <w:kern w:val="2"/>
          <w:sz w:val="44"/>
          <w:szCs w:val="44"/>
          <w:lang w:val="en-US" w:eastAsia="zh-CN" w:bidi="ar-SA"/>
        </w:rPr>
        <w:t>友好区养殖水域滩涂规划（2025—2030）</w:t>
      </w:r>
    </w:p>
    <w:p w14:paraId="53C26ABA">
      <w:pPr>
        <w:keepNext w:val="0"/>
        <w:keepLines w:val="0"/>
        <w:pageBreakBefore w:val="0"/>
        <w:widowControl w:val="0"/>
        <w:tabs>
          <w:tab w:val="left" w:pos="993"/>
        </w:tabs>
        <w:kinsoku/>
        <w:wordWrap/>
        <w:overflowPunct/>
        <w:topLinePunct w:val="0"/>
        <w:autoSpaceDE/>
        <w:autoSpaceDN/>
        <w:adjustRightInd/>
        <w:snapToGrid/>
        <w:spacing w:line="680" w:lineRule="exact"/>
        <w:ind w:left="0" w:leftChars="0"/>
        <w:jc w:val="center"/>
        <w:textAlignment w:val="auto"/>
        <w:rPr>
          <w:rFonts w:hint="default"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r>
        <w:rPr>
          <w:rFonts w:hint="eastAsia" w:ascii="微软雅黑" w:hAnsi="微软雅黑" w:eastAsia="微软雅黑" w:cs="微软雅黑"/>
          <w:b w:val="0"/>
          <w:bCs/>
          <w:kern w:val="2"/>
          <w:sz w:val="44"/>
          <w:szCs w:val="44"/>
          <w:lang w:val="en-US" w:eastAsia="zh-CN" w:bidi="ar-SA"/>
        </w:rPr>
        <w:t>编</w:t>
      </w:r>
      <w: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t>制工作技术指导组</w:t>
      </w:r>
    </w:p>
    <w:p w14:paraId="047E8E4F">
      <w:pPr>
        <w:widowControl w:val="0"/>
        <w:spacing w:line="360" w:lineRule="auto"/>
        <w:ind w:left="3451" w:leftChars="200" w:hanging="2891" w:hangingChars="900"/>
        <w:rPr>
          <w:rFonts w:hint="eastAsia" w:ascii="仿宋_GB2312" w:hAnsi="仿宋_GB2312" w:eastAsia="仿宋_GB2312" w:cs="仿宋_GB2312"/>
          <w:b/>
          <w:bCs/>
          <w:kern w:val="2"/>
          <w:sz w:val="32"/>
          <w:szCs w:val="32"/>
          <w:lang w:val="en-US" w:eastAsia="zh-CN" w:bidi="ar-SA"/>
        </w:rPr>
      </w:pPr>
    </w:p>
    <w:p w14:paraId="5B76E5D2">
      <w:pPr>
        <w:widowControl w:val="0"/>
        <w:spacing w:line="360" w:lineRule="auto"/>
        <w:ind w:firstLine="643"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lang w:val="en-US" w:eastAsia="zh-CN" w:bidi="ar-SA"/>
        </w:rPr>
        <w:t xml:space="preserve">组    长：杨丰君 区农业农村局局长  </w:t>
      </w:r>
    </w:p>
    <w:p w14:paraId="34B5DB9A">
      <w:pPr>
        <w:widowControl w:val="0"/>
        <w:spacing w:line="360" w:lineRule="auto"/>
        <w:ind w:firstLine="643"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副 组 长：</w:t>
      </w:r>
      <w:r>
        <w:rPr>
          <w:rFonts w:hint="eastAsia" w:ascii="仿宋_GB2312" w:hAnsi="仿宋_GB2312" w:eastAsia="仿宋_GB2312" w:cs="仿宋_GB2312"/>
          <w:b/>
          <w:bCs/>
          <w:kern w:val="2"/>
          <w:sz w:val="32"/>
          <w:szCs w:val="32"/>
          <w:lang w:val="en-US" w:eastAsia="zh-CN" w:bidi="ar-SA"/>
        </w:rPr>
        <w:t>孙泰   区农业农村局副局长</w:t>
      </w:r>
      <w:r>
        <w:rPr>
          <w:rFonts w:hint="eastAsia" w:ascii="仿宋_GB2312" w:hAnsi="仿宋_GB2312" w:eastAsia="仿宋_GB2312" w:cs="仿宋_GB2312"/>
          <w:b/>
          <w:bCs/>
          <w:kern w:val="2"/>
          <w:sz w:val="32"/>
          <w:szCs w:val="32"/>
          <w:highlight w:val="none"/>
          <w:lang w:val="en-US" w:eastAsia="zh-CN" w:bidi="ar-SA"/>
        </w:rPr>
        <w:t xml:space="preserve">     </w:t>
      </w:r>
    </w:p>
    <w:p w14:paraId="35556200">
      <w:pPr>
        <w:widowControl w:val="0"/>
        <w:spacing w:line="360" w:lineRule="auto"/>
        <w:ind w:leftChars="0" w:firstLine="643"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组    员：</w:t>
      </w:r>
      <w:r>
        <w:rPr>
          <w:rFonts w:hint="eastAsia" w:ascii="仿宋_GB2312" w:hAnsi="仿宋_GB2312" w:eastAsia="仿宋_GB2312" w:cs="仿宋_GB2312"/>
          <w:b/>
          <w:bCs/>
          <w:kern w:val="2"/>
          <w:sz w:val="32"/>
          <w:szCs w:val="32"/>
          <w:lang w:val="en-US" w:eastAsia="zh-CN" w:bidi="ar-SA"/>
        </w:rPr>
        <w:t>李维星 区农业综合服务中心主任</w:t>
      </w:r>
    </w:p>
    <w:p w14:paraId="3AD74AD7">
      <w:pPr>
        <w:widowControl w:val="0"/>
        <w:spacing w:line="360" w:lineRule="auto"/>
        <w:ind w:firstLine="2249" w:firstLineChars="7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赵健 区农业综合服务中心科员</w:t>
      </w:r>
    </w:p>
    <w:p w14:paraId="60E1FAD9">
      <w:pPr>
        <w:widowControl w:val="0"/>
        <w:spacing w:line="360" w:lineRule="auto"/>
        <w:ind w:firstLine="2249" w:firstLineChars="700"/>
        <w:jc w:val="both"/>
        <w:rPr>
          <w:rFonts w:hint="eastAsia" w:ascii="仿宋_GB2312" w:hAnsi="仿宋_GB2312" w:eastAsia="仿宋_GB2312" w:cs="仿宋_GB2312"/>
          <w:b/>
          <w:bCs/>
          <w:kern w:val="2"/>
          <w:sz w:val="32"/>
          <w:szCs w:val="32"/>
          <w:lang w:val="en-US" w:eastAsia="zh-CN" w:bidi="ar-SA"/>
        </w:rPr>
      </w:pPr>
    </w:p>
    <w:p w14:paraId="1EA0C3F7">
      <w:pPr>
        <w:widowControl w:val="0"/>
        <w:spacing w:line="360" w:lineRule="auto"/>
        <w:ind w:firstLine="643" w:firstLineChars="2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外聘专家：陈建龙  黑龙江省国土空间规划研究院 正高</w:t>
      </w:r>
    </w:p>
    <w:p w14:paraId="4DA9610D">
      <w:pPr>
        <w:widowControl w:val="0"/>
        <w:spacing w:line="360" w:lineRule="auto"/>
        <w:ind w:firstLine="643" w:firstLineChars="2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刘旭东  哈尔滨市农业农村局 高级工程师</w:t>
      </w:r>
    </w:p>
    <w:p w14:paraId="0F53441A">
      <w:pPr>
        <w:widowControl w:val="0"/>
        <w:spacing w:line="360" w:lineRule="auto"/>
        <w:ind w:firstLine="643" w:firstLineChars="2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王崇生  哈尔滨市农业技术推广总站 研究员</w:t>
      </w:r>
    </w:p>
    <w:p w14:paraId="46FE306E">
      <w:pPr>
        <w:widowControl w:val="0"/>
        <w:spacing w:line="360" w:lineRule="auto"/>
        <w:ind w:firstLine="643" w:firstLineChars="2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郭  双  哈尔滨市水利技术服务中心  教高</w:t>
      </w:r>
    </w:p>
    <w:p w14:paraId="1C905C80">
      <w:pPr>
        <w:widowControl w:val="0"/>
        <w:spacing w:line="360" w:lineRule="auto"/>
        <w:ind w:firstLine="643" w:firstLineChars="200"/>
        <w:jc w:val="both"/>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王宏伟  黑龙江省水利水电勘测设计研究院 教高</w:t>
      </w:r>
    </w:p>
    <w:p w14:paraId="08ED4504">
      <w:pPr>
        <w:widowControl w:val="0"/>
        <w:spacing w:line="360" w:lineRule="auto"/>
        <w:ind w:firstLine="643" w:firstLineChars="200"/>
        <w:jc w:val="both"/>
        <w:rPr>
          <w:rFonts w:hint="default" w:ascii="仿宋_GB2312" w:hAnsi="仿宋_GB2312" w:eastAsia="仿宋_GB2312" w:cs="仿宋_GB2312"/>
          <w:b/>
          <w:bCs/>
          <w:kern w:val="2"/>
          <w:sz w:val="32"/>
          <w:szCs w:val="32"/>
          <w:highlight w:val="none"/>
          <w:lang w:val="en-US" w:eastAsia="zh-CN" w:bidi="ar-SA"/>
        </w:rPr>
        <w:sectPr>
          <w:footerReference r:id="rId9" w:type="first"/>
          <w:footerReference r:id="rId8" w:type="default"/>
          <w:pgSz w:w="11907" w:h="16840"/>
          <w:pgMar w:top="1531" w:right="1247" w:bottom="1417" w:left="1417" w:header="851" w:footer="992"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eastAsia" w:ascii="仿宋_GB2312" w:hAnsi="仿宋_GB2312" w:eastAsia="仿宋_GB2312" w:cs="仿宋_GB2312"/>
          <w:b/>
          <w:bCs/>
          <w:kern w:val="2"/>
          <w:sz w:val="32"/>
          <w:szCs w:val="32"/>
          <w:highlight w:val="none"/>
          <w:lang w:val="en-US" w:eastAsia="zh-CN" w:bidi="ar-SA"/>
        </w:rPr>
        <w:t xml:space="preserve"> </w:t>
      </w:r>
    </w:p>
    <w:p w14:paraId="6102D338">
      <w:pPr>
        <w:pStyle w:val="20"/>
        <w:ind w:left="0" w:leftChars="0"/>
        <w:jc w:val="cente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t>友好区养殖水域滩涂规划（2025—2030）</w:t>
      </w:r>
      <w: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br w:type="textWrapping"/>
      </w:r>
      <w: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t>编制技术单位</w:t>
      </w:r>
    </w:p>
    <w:p w14:paraId="417FBD02">
      <w:pPr>
        <w:ind w:left="0" w:leftChars="0" w:firstLine="560" w:firstLineChars="200"/>
        <w:jc w:val="both"/>
        <w:rPr>
          <w:rFonts w:hint="eastAsia" w:ascii="仿宋" w:hAnsi="仿宋" w:eastAsia="仿宋"/>
          <w:szCs w:val="28"/>
          <w:lang w:val="en-US" w:eastAsia="zh-CN"/>
        </w:rPr>
      </w:pPr>
    </w:p>
    <w:p w14:paraId="2CB8F4A6">
      <w:pPr>
        <w:pStyle w:val="11"/>
        <w:ind w:firstLine="643" w:firstLineChars="2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编制单位：哈尔滨公众地理信息研究所</w:t>
      </w:r>
    </w:p>
    <w:p w14:paraId="2375F526">
      <w:pPr>
        <w:pStyle w:val="11"/>
        <w:ind w:leftChars="0" w:firstLine="643" w:firstLineChars="2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组    长：丁佳男 高级工程师</w:t>
      </w:r>
    </w:p>
    <w:p w14:paraId="401D1752">
      <w:pPr>
        <w:pStyle w:val="11"/>
        <w:jc w:val="both"/>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成    员：刘亚娟 高级工程师</w:t>
      </w:r>
    </w:p>
    <w:p w14:paraId="4CE7353F">
      <w:pPr>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李  莹 工程师</w:t>
      </w:r>
    </w:p>
    <w:p w14:paraId="0490F3D3">
      <w:pPr>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历宗霞 工程师</w:t>
      </w:r>
    </w:p>
    <w:p w14:paraId="497CE4BF">
      <w:pPr>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吴丽娜 工程师</w:t>
      </w:r>
    </w:p>
    <w:p w14:paraId="26A92515">
      <w:pPr>
        <w:ind w:firstLine="2249" w:firstLineChars="7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姜  弘 工程师</w:t>
      </w:r>
    </w:p>
    <w:p w14:paraId="37054076">
      <w:pPr>
        <w:ind w:firstLine="2249" w:firstLineChars="7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聂红岩 助理工程师</w:t>
      </w:r>
    </w:p>
    <w:p w14:paraId="6B1690C1">
      <w:pPr>
        <w:pStyle w:val="11"/>
        <w:ind w:leftChars="0" w:firstLine="2249" w:firstLineChars="700"/>
        <w:jc w:val="both"/>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邢振江 助理工程师</w:t>
      </w:r>
    </w:p>
    <w:p w14:paraId="6E890AA3">
      <w:pPr>
        <w:ind w:firstLine="2249" w:firstLineChars="700"/>
        <w:jc w:val="both"/>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w:t>
      </w:r>
    </w:p>
    <w:p w14:paraId="7DEE7733">
      <w:pPr>
        <w:jc w:val="both"/>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w:t>
      </w:r>
    </w:p>
    <w:p w14:paraId="1E76BA24">
      <w:pPr>
        <w:jc w:val="both"/>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 xml:space="preserve">               </w:t>
      </w:r>
    </w:p>
    <w:p w14:paraId="29649B2D">
      <w:pPr>
        <w:jc w:val="both"/>
        <w:rPr>
          <w:rFonts w:hint="default" w:ascii="Times New Roman" w:hAnsi="Times New Roman" w:eastAsia="宋体" w:cs="Times New Roman"/>
          <w:b/>
          <w:kern w:val="2"/>
          <w:sz w:val="24"/>
          <w:szCs w:val="24"/>
          <w:lang w:val="en-US" w:eastAsia="zh-CN" w:bidi="ar-SA"/>
        </w:rPr>
      </w:pPr>
      <w:r>
        <w:rPr>
          <w:rFonts w:hint="eastAsia" w:cs="Times New Roman"/>
          <w:b/>
          <w:kern w:val="2"/>
          <w:sz w:val="24"/>
          <w:szCs w:val="24"/>
          <w:lang w:val="en-US" w:eastAsia="zh-CN" w:bidi="ar-SA"/>
        </w:rPr>
        <w:t xml:space="preserve">              </w:t>
      </w:r>
    </w:p>
    <w:p w14:paraId="7FBB757E">
      <w:pPr>
        <w:jc w:val="both"/>
        <w:rPr>
          <w:rFonts w:hint="default" w:ascii="仿宋_GB2312" w:hAnsi="仿宋_GB2312" w:eastAsia="仿宋_GB2312" w:cs="仿宋_GB2312"/>
          <w:sz w:val="32"/>
          <w:szCs w:val="32"/>
          <w:lang w:val="en-US" w:eastAsia="zh-CN"/>
        </w:rPr>
        <w:sectPr>
          <w:footerReference r:id="rId10" w:type="default"/>
          <w:pgSz w:w="11906" w:h="16838"/>
          <w:pgMar w:top="1531" w:right="1247" w:bottom="1417" w:left="1417" w:header="851" w:footer="992" w:gutter="0"/>
          <w:pgBorders>
            <w:top w:val="none" w:sz="0" w:space="0"/>
            <w:left w:val="none" w:sz="0" w:space="0"/>
            <w:bottom w:val="none" w:sz="0" w:space="0"/>
            <w:right w:val="none" w:sz="0" w:space="0"/>
          </w:pgBorders>
          <w:pgNumType w:fmt="decimal"/>
          <w:cols w:space="425" w:num="1"/>
          <w:rtlGutter w:val="0"/>
          <w:docGrid w:type="lines" w:linePitch="312" w:charSpace="0"/>
        </w:sectPr>
      </w:pPr>
      <w:r>
        <w:rPr>
          <w:rFonts w:hint="eastAsia" w:ascii="仿宋_GB2312" w:hAnsi="仿宋_GB2312" w:eastAsia="仿宋_GB2312" w:cs="仿宋_GB2312"/>
          <w:sz w:val="32"/>
          <w:szCs w:val="32"/>
          <w:lang w:val="en-US" w:eastAsia="zh-CN"/>
        </w:rPr>
        <w:t xml:space="preserve">  </w:t>
      </w:r>
    </w:p>
    <w:sdt>
      <w:sdtPr>
        <w:rPr>
          <w:rFonts w:ascii="宋体" w:hAnsi="宋体" w:eastAsia="宋体" w:cs="Times New Roman"/>
          <w:kern w:val="2"/>
          <w:sz w:val="52"/>
          <w:szCs w:val="52"/>
          <w:lang w:val="en-US" w:eastAsia="zh-CN" w:bidi="ar-SA"/>
        </w:rPr>
        <w:id w:val="147475021"/>
        <w15:color w:val="DBDBDB"/>
        <w:docPartObj>
          <w:docPartGallery w:val="Table of Contents"/>
          <w:docPartUnique/>
        </w:docPartObj>
      </w:sdtPr>
      <w:sdtEndPr>
        <w:rPr>
          <w:rFonts w:hint="eastAsia" w:ascii="黑体" w:hAnsi="黑体" w:eastAsia="黑体" w:cs="Times New Roman"/>
          <w:kern w:val="2"/>
          <w:sz w:val="28"/>
          <w:szCs w:val="32"/>
          <w:highlight w:val="none"/>
          <w:lang w:val="en-US" w:eastAsia="zh-CN" w:bidi="ar-SA"/>
        </w:rPr>
      </w:sdtEndPr>
      <w:sdtContent>
        <w:p w14:paraId="73000CEB">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w:t>
          </w:r>
          <w:r>
            <w:rPr>
              <w:rFonts w:hint="eastAsia" w:ascii="宋体" w:hAnsi="宋体" w:eastAsia="宋体"/>
              <w:sz w:val="52"/>
              <w:szCs w:val="52"/>
              <w:lang w:val="en-US" w:eastAsia="zh-CN"/>
            </w:rPr>
            <w:t xml:space="preserve"> </w:t>
          </w:r>
          <w:r>
            <w:rPr>
              <w:rFonts w:ascii="宋体" w:hAnsi="宋体" w:eastAsia="宋体"/>
              <w:sz w:val="52"/>
              <w:szCs w:val="52"/>
            </w:rPr>
            <w:t>录</w:t>
          </w:r>
        </w:p>
        <w:p w14:paraId="33898680">
          <w:pPr>
            <w:pStyle w:val="16"/>
            <w:tabs>
              <w:tab w:val="right" w:leader="dot" w:pos="9242"/>
            </w:tabs>
            <w:spacing w:line="360" w:lineRule="auto"/>
            <w:rPr>
              <w:sz w:val="24"/>
              <w:szCs w:val="24"/>
            </w:rPr>
          </w:pPr>
          <w:r>
            <w:rPr>
              <w:sz w:val="24"/>
              <w:szCs w:val="24"/>
            </w:rPr>
            <w:fldChar w:fldCharType="begin"/>
          </w:r>
          <w:r>
            <w:rPr>
              <w:sz w:val="24"/>
              <w:szCs w:val="24"/>
            </w:rPr>
            <w:instrText xml:space="preserve">TOC \o "1-3" \h \u </w:instrText>
          </w:r>
          <w:r>
            <w:rPr>
              <w:sz w:val="24"/>
              <w:szCs w:val="24"/>
            </w:rPr>
            <w:fldChar w:fldCharType="separate"/>
          </w:r>
          <w:r>
            <w:rPr>
              <w:sz w:val="24"/>
              <w:szCs w:val="24"/>
            </w:rPr>
            <w:fldChar w:fldCharType="begin"/>
          </w:r>
          <w:r>
            <w:rPr>
              <w:sz w:val="24"/>
              <w:szCs w:val="24"/>
            </w:rPr>
            <w:instrText xml:space="preserve"> HYPERLINK \l _Toc15082 </w:instrText>
          </w:r>
          <w:r>
            <w:rPr>
              <w:sz w:val="24"/>
              <w:szCs w:val="24"/>
            </w:rPr>
            <w:fldChar w:fldCharType="separate"/>
          </w:r>
          <w:r>
            <w:rPr>
              <w:rFonts w:hint="eastAsia"/>
              <w:sz w:val="24"/>
              <w:szCs w:val="24"/>
            </w:rPr>
            <w:t xml:space="preserve">第一章 </w:t>
          </w:r>
          <w:r>
            <w:rPr>
              <w:sz w:val="24"/>
              <w:szCs w:val="24"/>
            </w:rPr>
            <w:t>总则</w:t>
          </w:r>
          <w:r>
            <w:rPr>
              <w:sz w:val="24"/>
              <w:szCs w:val="24"/>
            </w:rPr>
            <w:tab/>
          </w:r>
          <w:r>
            <w:rPr>
              <w:sz w:val="24"/>
              <w:szCs w:val="24"/>
            </w:rPr>
            <w:fldChar w:fldCharType="begin"/>
          </w:r>
          <w:r>
            <w:rPr>
              <w:sz w:val="24"/>
              <w:szCs w:val="24"/>
            </w:rPr>
            <w:instrText xml:space="preserve"> PAGEREF _Toc15082 \h </w:instrText>
          </w:r>
          <w:r>
            <w:rPr>
              <w:sz w:val="24"/>
              <w:szCs w:val="24"/>
            </w:rPr>
            <w:fldChar w:fldCharType="separate"/>
          </w:r>
          <w:r>
            <w:rPr>
              <w:sz w:val="24"/>
              <w:szCs w:val="24"/>
            </w:rPr>
            <w:t>1</w:t>
          </w:r>
          <w:r>
            <w:rPr>
              <w:sz w:val="24"/>
              <w:szCs w:val="24"/>
            </w:rPr>
            <w:fldChar w:fldCharType="end"/>
          </w:r>
          <w:r>
            <w:rPr>
              <w:sz w:val="24"/>
              <w:szCs w:val="24"/>
            </w:rPr>
            <w:fldChar w:fldCharType="end"/>
          </w:r>
        </w:p>
        <w:p w14:paraId="2BA8AB7C">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_Toc24081 </w:instrText>
          </w:r>
          <w:r>
            <w:rPr>
              <w:sz w:val="24"/>
              <w:szCs w:val="24"/>
            </w:rPr>
            <w:fldChar w:fldCharType="separate"/>
          </w:r>
          <w:r>
            <w:rPr>
              <w:rFonts w:hint="default"/>
              <w:sz w:val="24"/>
              <w:szCs w:val="24"/>
            </w:rPr>
            <w:t xml:space="preserve">1.1 </w:t>
          </w:r>
          <w:r>
            <w:rPr>
              <w:sz w:val="24"/>
              <w:szCs w:val="24"/>
            </w:rPr>
            <w:t>前言</w:t>
          </w:r>
          <w:r>
            <w:rPr>
              <w:sz w:val="24"/>
              <w:szCs w:val="24"/>
            </w:rPr>
            <w:tab/>
          </w:r>
          <w:r>
            <w:rPr>
              <w:sz w:val="24"/>
              <w:szCs w:val="24"/>
            </w:rPr>
            <w:fldChar w:fldCharType="begin"/>
          </w:r>
          <w:r>
            <w:rPr>
              <w:sz w:val="24"/>
              <w:szCs w:val="24"/>
            </w:rPr>
            <w:instrText xml:space="preserve"> PAGEREF _Toc24081 \h </w:instrText>
          </w:r>
          <w:r>
            <w:rPr>
              <w:sz w:val="24"/>
              <w:szCs w:val="24"/>
            </w:rPr>
            <w:fldChar w:fldCharType="separate"/>
          </w:r>
          <w:r>
            <w:rPr>
              <w:sz w:val="24"/>
              <w:szCs w:val="24"/>
            </w:rPr>
            <w:t>1</w:t>
          </w:r>
          <w:r>
            <w:rPr>
              <w:sz w:val="24"/>
              <w:szCs w:val="24"/>
            </w:rPr>
            <w:fldChar w:fldCharType="end"/>
          </w:r>
          <w:r>
            <w:rPr>
              <w:sz w:val="24"/>
              <w:szCs w:val="24"/>
            </w:rPr>
            <w:fldChar w:fldCharType="end"/>
          </w:r>
        </w:p>
        <w:p w14:paraId="4BEAE4C0">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_Toc20181 </w:instrText>
          </w:r>
          <w:r>
            <w:rPr>
              <w:sz w:val="24"/>
              <w:szCs w:val="24"/>
            </w:rPr>
            <w:fldChar w:fldCharType="separate"/>
          </w:r>
          <w:r>
            <w:rPr>
              <w:rFonts w:hint="default"/>
              <w:sz w:val="24"/>
              <w:szCs w:val="24"/>
            </w:rPr>
            <w:t xml:space="preserve">1.1.1 </w:t>
          </w:r>
          <w:r>
            <w:rPr>
              <w:sz w:val="24"/>
              <w:szCs w:val="24"/>
            </w:rPr>
            <w:t>上一轮规划的批复情况</w:t>
          </w:r>
          <w:r>
            <w:rPr>
              <w:sz w:val="24"/>
              <w:szCs w:val="24"/>
            </w:rPr>
            <w:tab/>
          </w:r>
          <w:r>
            <w:rPr>
              <w:sz w:val="24"/>
              <w:szCs w:val="24"/>
            </w:rPr>
            <w:fldChar w:fldCharType="begin"/>
          </w:r>
          <w:r>
            <w:rPr>
              <w:sz w:val="24"/>
              <w:szCs w:val="24"/>
            </w:rPr>
            <w:instrText xml:space="preserve"> PAGEREF _Toc20181 \h </w:instrText>
          </w:r>
          <w:r>
            <w:rPr>
              <w:sz w:val="24"/>
              <w:szCs w:val="24"/>
            </w:rPr>
            <w:fldChar w:fldCharType="separate"/>
          </w:r>
          <w:r>
            <w:rPr>
              <w:sz w:val="24"/>
              <w:szCs w:val="24"/>
            </w:rPr>
            <w:t>1</w:t>
          </w:r>
          <w:r>
            <w:rPr>
              <w:sz w:val="24"/>
              <w:szCs w:val="24"/>
            </w:rPr>
            <w:fldChar w:fldCharType="end"/>
          </w:r>
          <w:r>
            <w:rPr>
              <w:sz w:val="24"/>
              <w:szCs w:val="24"/>
            </w:rPr>
            <w:fldChar w:fldCharType="end"/>
          </w:r>
        </w:p>
        <w:p w14:paraId="351E810A">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_Toc15949 </w:instrText>
          </w:r>
          <w:r>
            <w:rPr>
              <w:sz w:val="24"/>
              <w:szCs w:val="24"/>
            </w:rPr>
            <w:fldChar w:fldCharType="separate"/>
          </w:r>
          <w:r>
            <w:rPr>
              <w:rFonts w:hint="default"/>
              <w:sz w:val="24"/>
              <w:szCs w:val="24"/>
            </w:rPr>
            <w:t xml:space="preserve">1.1.2 </w:t>
          </w:r>
          <w:r>
            <w:rPr>
              <w:sz w:val="24"/>
              <w:szCs w:val="24"/>
            </w:rPr>
            <w:t>面临形势</w:t>
          </w:r>
          <w:r>
            <w:rPr>
              <w:sz w:val="24"/>
              <w:szCs w:val="24"/>
            </w:rPr>
            <w:tab/>
          </w:r>
          <w:r>
            <w:rPr>
              <w:sz w:val="24"/>
              <w:szCs w:val="24"/>
            </w:rPr>
            <w:fldChar w:fldCharType="begin"/>
          </w:r>
          <w:r>
            <w:rPr>
              <w:sz w:val="24"/>
              <w:szCs w:val="24"/>
            </w:rPr>
            <w:instrText xml:space="preserve"> PAGEREF _Toc15949 \h </w:instrText>
          </w:r>
          <w:r>
            <w:rPr>
              <w:sz w:val="24"/>
              <w:szCs w:val="24"/>
            </w:rPr>
            <w:fldChar w:fldCharType="separate"/>
          </w:r>
          <w:r>
            <w:rPr>
              <w:sz w:val="24"/>
              <w:szCs w:val="24"/>
            </w:rPr>
            <w:t>1</w:t>
          </w:r>
          <w:r>
            <w:rPr>
              <w:sz w:val="24"/>
              <w:szCs w:val="24"/>
            </w:rPr>
            <w:fldChar w:fldCharType="end"/>
          </w:r>
          <w:r>
            <w:rPr>
              <w:sz w:val="24"/>
              <w:szCs w:val="24"/>
            </w:rPr>
            <w:fldChar w:fldCharType="end"/>
          </w:r>
        </w:p>
        <w:p w14:paraId="0B3E495C">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_Toc31049 </w:instrText>
          </w:r>
          <w:r>
            <w:rPr>
              <w:sz w:val="24"/>
              <w:szCs w:val="24"/>
            </w:rPr>
            <w:fldChar w:fldCharType="separate"/>
          </w:r>
          <w:r>
            <w:rPr>
              <w:rFonts w:hint="default"/>
              <w:sz w:val="24"/>
              <w:szCs w:val="24"/>
            </w:rPr>
            <w:t xml:space="preserve">1.1.3 </w:t>
          </w:r>
          <w:r>
            <w:rPr>
              <w:sz w:val="24"/>
              <w:szCs w:val="24"/>
            </w:rPr>
            <w:t>规划背景</w:t>
          </w:r>
          <w:r>
            <w:rPr>
              <w:sz w:val="24"/>
              <w:szCs w:val="24"/>
            </w:rPr>
            <w:tab/>
          </w:r>
          <w:r>
            <w:rPr>
              <w:sz w:val="24"/>
              <w:szCs w:val="24"/>
            </w:rPr>
            <w:fldChar w:fldCharType="begin"/>
          </w:r>
          <w:r>
            <w:rPr>
              <w:sz w:val="24"/>
              <w:szCs w:val="24"/>
            </w:rPr>
            <w:instrText xml:space="preserve"> PAGEREF _Toc31049 \h </w:instrText>
          </w:r>
          <w:r>
            <w:rPr>
              <w:sz w:val="24"/>
              <w:szCs w:val="24"/>
            </w:rPr>
            <w:fldChar w:fldCharType="separate"/>
          </w:r>
          <w:r>
            <w:rPr>
              <w:sz w:val="24"/>
              <w:szCs w:val="24"/>
            </w:rPr>
            <w:t>2</w:t>
          </w:r>
          <w:r>
            <w:rPr>
              <w:sz w:val="24"/>
              <w:szCs w:val="24"/>
            </w:rPr>
            <w:fldChar w:fldCharType="end"/>
          </w:r>
          <w:r>
            <w:rPr>
              <w:sz w:val="24"/>
              <w:szCs w:val="24"/>
            </w:rPr>
            <w:fldChar w:fldCharType="end"/>
          </w:r>
        </w:p>
        <w:p w14:paraId="022FF15A">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_Toc25 </w:instrText>
          </w:r>
          <w:r>
            <w:rPr>
              <w:sz w:val="24"/>
              <w:szCs w:val="24"/>
            </w:rPr>
            <w:fldChar w:fldCharType="separate"/>
          </w:r>
          <w:r>
            <w:rPr>
              <w:rFonts w:hint="default"/>
              <w:sz w:val="24"/>
              <w:szCs w:val="24"/>
            </w:rPr>
            <w:t xml:space="preserve">1.1.4 </w:t>
          </w:r>
          <w:r>
            <w:rPr>
              <w:sz w:val="24"/>
              <w:szCs w:val="24"/>
            </w:rPr>
            <w:t>规划指导思想</w:t>
          </w:r>
          <w:r>
            <w:rPr>
              <w:sz w:val="24"/>
              <w:szCs w:val="24"/>
            </w:rPr>
            <w:tab/>
          </w:r>
          <w:r>
            <w:rPr>
              <w:sz w:val="24"/>
              <w:szCs w:val="24"/>
            </w:rPr>
            <w:fldChar w:fldCharType="begin"/>
          </w:r>
          <w:r>
            <w:rPr>
              <w:sz w:val="24"/>
              <w:szCs w:val="24"/>
            </w:rPr>
            <w:instrText xml:space="preserve"> PAGEREF _Toc25 \h </w:instrText>
          </w:r>
          <w:r>
            <w:rPr>
              <w:sz w:val="24"/>
              <w:szCs w:val="24"/>
            </w:rPr>
            <w:fldChar w:fldCharType="separate"/>
          </w:r>
          <w:r>
            <w:rPr>
              <w:sz w:val="24"/>
              <w:szCs w:val="24"/>
            </w:rPr>
            <w:t>3</w:t>
          </w:r>
          <w:r>
            <w:rPr>
              <w:sz w:val="24"/>
              <w:szCs w:val="24"/>
            </w:rPr>
            <w:fldChar w:fldCharType="end"/>
          </w:r>
          <w:r>
            <w:rPr>
              <w:sz w:val="24"/>
              <w:szCs w:val="24"/>
            </w:rPr>
            <w:fldChar w:fldCharType="end"/>
          </w:r>
        </w:p>
        <w:p w14:paraId="382D9DEE">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_Toc2190 </w:instrText>
          </w:r>
          <w:r>
            <w:rPr>
              <w:sz w:val="24"/>
              <w:szCs w:val="24"/>
            </w:rPr>
            <w:fldChar w:fldCharType="separate"/>
          </w:r>
          <w:r>
            <w:rPr>
              <w:rFonts w:hint="default"/>
              <w:sz w:val="24"/>
              <w:szCs w:val="24"/>
            </w:rPr>
            <w:t xml:space="preserve">1.1.5 </w:t>
          </w:r>
          <w:r>
            <w:rPr>
              <w:sz w:val="24"/>
              <w:szCs w:val="24"/>
            </w:rPr>
            <w:t>规划目的及意义</w:t>
          </w:r>
          <w:r>
            <w:rPr>
              <w:sz w:val="24"/>
              <w:szCs w:val="24"/>
            </w:rPr>
            <w:tab/>
          </w:r>
          <w:r>
            <w:rPr>
              <w:sz w:val="24"/>
              <w:szCs w:val="24"/>
            </w:rPr>
            <w:fldChar w:fldCharType="begin"/>
          </w:r>
          <w:r>
            <w:rPr>
              <w:sz w:val="24"/>
              <w:szCs w:val="24"/>
            </w:rPr>
            <w:instrText xml:space="preserve"> PAGEREF _Toc2190 \h </w:instrText>
          </w:r>
          <w:r>
            <w:rPr>
              <w:sz w:val="24"/>
              <w:szCs w:val="24"/>
            </w:rPr>
            <w:fldChar w:fldCharType="separate"/>
          </w:r>
          <w:r>
            <w:rPr>
              <w:sz w:val="24"/>
              <w:szCs w:val="24"/>
            </w:rPr>
            <w:t>5</w:t>
          </w:r>
          <w:r>
            <w:rPr>
              <w:sz w:val="24"/>
              <w:szCs w:val="24"/>
            </w:rPr>
            <w:fldChar w:fldCharType="end"/>
          </w:r>
          <w:r>
            <w:rPr>
              <w:sz w:val="24"/>
              <w:szCs w:val="24"/>
            </w:rPr>
            <w:fldChar w:fldCharType="end"/>
          </w:r>
        </w:p>
        <w:p w14:paraId="4B5508D0">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_Toc3053 </w:instrText>
          </w:r>
          <w:r>
            <w:rPr>
              <w:sz w:val="24"/>
              <w:szCs w:val="24"/>
            </w:rPr>
            <w:fldChar w:fldCharType="separate"/>
          </w:r>
          <w:r>
            <w:rPr>
              <w:rFonts w:hint="default"/>
              <w:sz w:val="24"/>
              <w:szCs w:val="24"/>
            </w:rPr>
            <w:t xml:space="preserve">1.2 </w:t>
          </w:r>
          <w:r>
            <w:rPr>
              <w:rFonts w:hint="eastAsia"/>
              <w:sz w:val="24"/>
              <w:szCs w:val="24"/>
              <w:lang w:val="en-US" w:eastAsia="zh-CN"/>
            </w:rPr>
            <w:t>编制</w:t>
          </w:r>
          <w:r>
            <w:rPr>
              <w:sz w:val="24"/>
              <w:szCs w:val="24"/>
            </w:rPr>
            <w:t>依据</w:t>
          </w:r>
          <w:r>
            <w:rPr>
              <w:sz w:val="24"/>
              <w:szCs w:val="24"/>
            </w:rPr>
            <w:tab/>
          </w:r>
          <w:r>
            <w:rPr>
              <w:sz w:val="24"/>
              <w:szCs w:val="24"/>
            </w:rPr>
            <w:fldChar w:fldCharType="begin"/>
          </w:r>
          <w:r>
            <w:rPr>
              <w:sz w:val="24"/>
              <w:szCs w:val="24"/>
            </w:rPr>
            <w:instrText xml:space="preserve"> PAGEREF _Toc3053 \h </w:instrText>
          </w:r>
          <w:r>
            <w:rPr>
              <w:sz w:val="24"/>
              <w:szCs w:val="24"/>
            </w:rPr>
            <w:fldChar w:fldCharType="separate"/>
          </w:r>
          <w:r>
            <w:rPr>
              <w:sz w:val="24"/>
              <w:szCs w:val="24"/>
            </w:rPr>
            <w:t>6</w:t>
          </w:r>
          <w:r>
            <w:rPr>
              <w:sz w:val="24"/>
              <w:szCs w:val="24"/>
            </w:rPr>
            <w:fldChar w:fldCharType="end"/>
          </w:r>
          <w:r>
            <w:rPr>
              <w:sz w:val="24"/>
              <w:szCs w:val="24"/>
            </w:rPr>
            <w:fldChar w:fldCharType="end"/>
          </w:r>
        </w:p>
        <w:p w14:paraId="405A25EC">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_Toc4423 </w:instrText>
          </w:r>
          <w:r>
            <w:rPr>
              <w:sz w:val="24"/>
              <w:szCs w:val="24"/>
            </w:rPr>
            <w:fldChar w:fldCharType="separate"/>
          </w:r>
          <w:r>
            <w:rPr>
              <w:rFonts w:hint="default"/>
              <w:sz w:val="24"/>
              <w:szCs w:val="24"/>
            </w:rPr>
            <w:t xml:space="preserve">1.2.1 </w:t>
          </w:r>
          <w:r>
            <w:rPr>
              <w:sz w:val="24"/>
              <w:szCs w:val="24"/>
            </w:rPr>
            <w:t>相关法律法规</w:t>
          </w:r>
          <w:r>
            <w:rPr>
              <w:sz w:val="24"/>
              <w:szCs w:val="24"/>
            </w:rPr>
            <w:tab/>
          </w:r>
          <w:r>
            <w:rPr>
              <w:sz w:val="24"/>
              <w:szCs w:val="24"/>
            </w:rPr>
            <w:fldChar w:fldCharType="begin"/>
          </w:r>
          <w:r>
            <w:rPr>
              <w:sz w:val="24"/>
              <w:szCs w:val="24"/>
            </w:rPr>
            <w:instrText xml:space="preserve"> PAGEREF _Toc4423 \h </w:instrText>
          </w:r>
          <w:r>
            <w:rPr>
              <w:sz w:val="24"/>
              <w:szCs w:val="24"/>
            </w:rPr>
            <w:fldChar w:fldCharType="separate"/>
          </w:r>
          <w:r>
            <w:rPr>
              <w:sz w:val="24"/>
              <w:szCs w:val="24"/>
            </w:rPr>
            <w:t>6</w:t>
          </w:r>
          <w:r>
            <w:rPr>
              <w:sz w:val="24"/>
              <w:szCs w:val="24"/>
            </w:rPr>
            <w:fldChar w:fldCharType="end"/>
          </w:r>
          <w:r>
            <w:rPr>
              <w:sz w:val="24"/>
              <w:szCs w:val="24"/>
            </w:rPr>
            <w:fldChar w:fldCharType="end"/>
          </w:r>
        </w:p>
        <w:p w14:paraId="29070939">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_Toc25029 </w:instrText>
          </w:r>
          <w:r>
            <w:rPr>
              <w:sz w:val="24"/>
              <w:szCs w:val="24"/>
            </w:rPr>
            <w:fldChar w:fldCharType="separate"/>
          </w:r>
          <w:r>
            <w:rPr>
              <w:rFonts w:hint="default"/>
              <w:sz w:val="24"/>
              <w:szCs w:val="24"/>
            </w:rPr>
            <w:t xml:space="preserve">1.2.2 </w:t>
          </w:r>
          <w:r>
            <w:rPr>
              <w:sz w:val="24"/>
              <w:szCs w:val="24"/>
            </w:rPr>
            <w:t>相关政策文件</w:t>
          </w:r>
          <w:r>
            <w:rPr>
              <w:sz w:val="24"/>
              <w:szCs w:val="24"/>
            </w:rPr>
            <w:tab/>
          </w:r>
          <w:r>
            <w:rPr>
              <w:sz w:val="24"/>
              <w:szCs w:val="24"/>
            </w:rPr>
            <w:fldChar w:fldCharType="begin"/>
          </w:r>
          <w:r>
            <w:rPr>
              <w:sz w:val="24"/>
              <w:szCs w:val="24"/>
            </w:rPr>
            <w:instrText xml:space="preserve"> PAGEREF _Toc25029 \h </w:instrText>
          </w:r>
          <w:r>
            <w:rPr>
              <w:sz w:val="24"/>
              <w:szCs w:val="24"/>
            </w:rPr>
            <w:fldChar w:fldCharType="separate"/>
          </w:r>
          <w:r>
            <w:rPr>
              <w:sz w:val="24"/>
              <w:szCs w:val="24"/>
            </w:rPr>
            <w:t>6</w:t>
          </w:r>
          <w:r>
            <w:rPr>
              <w:sz w:val="24"/>
              <w:szCs w:val="24"/>
            </w:rPr>
            <w:fldChar w:fldCharType="end"/>
          </w:r>
          <w:r>
            <w:rPr>
              <w:sz w:val="24"/>
              <w:szCs w:val="24"/>
            </w:rPr>
            <w:fldChar w:fldCharType="end"/>
          </w:r>
        </w:p>
        <w:p w14:paraId="0F2773C7">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_Toc25050 </w:instrText>
          </w:r>
          <w:r>
            <w:rPr>
              <w:sz w:val="24"/>
              <w:szCs w:val="24"/>
            </w:rPr>
            <w:fldChar w:fldCharType="separate"/>
          </w:r>
          <w:r>
            <w:rPr>
              <w:rFonts w:hint="default"/>
              <w:sz w:val="24"/>
              <w:szCs w:val="24"/>
            </w:rPr>
            <w:t xml:space="preserve">1.2.3 </w:t>
          </w:r>
          <w:r>
            <w:rPr>
              <w:sz w:val="24"/>
              <w:szCs w:val="24"/>
            </w:rPr>
            <w:t>地方性法规</w:t>
          </w:r>
          <w:r>
            <w:rPr>
              <w:sz w:val="24"/>
              <w:szCs w:val="24"/>
            </w:rPr>
            <w:tab/>
          </w:r>
          <w:r>
            <w:rPr>
              <w:sz w:val="24"/>
              <w:szCs w:val="24"/>
            </w:rPr>
            <w:fldChar w:fldCharType="begin"/>
          </w:r>
          <w:r>
            <w:rPr>
              <w:sz w:val="24"/>
              <w:szCs w:val="24"/>
            </w:rPr>
            <w:instrText xml:space="preserve"> PAGEREF _Toc25050 \h </w:instrText>
          </w:r>
          <w:r>
            <w:rPr>
              <w:sz w:val="24"/>
              <w:szCs w:val="24"/>
            </w:rPr>
            <w:fldChar w:fldCharType="separate"/>
          </w:r>
          <w:r>
            <w:rPr>
              <w:sz w:val="24"/>
              <w:szCs w:val="24"/>
            </w:rPr>
            <w:t>7</w:t>
          </w:r>
          <w:r>
            <w:rPr>
              <w:sz w:val="24"/>
              <w:szCs w:val="24"/>
            </w:rPr>
            <w:fldChar w:fldCharType="end"/>
          </w:r>
          <w:r>
            <w:rPr>
              <w:sz w:val="24"/>
              <w:szCs w:val="24"/>
            </w:rPr>
            <w:fldChar w:fldCharType="end"/>
          </w:r>
        </w:p>
        <w:p w14:paraId="1428244E">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_Toc4959 </w:instrText>
          </w:r>
          <w:r>
            <w:rPr>
              <w:sz w:val="24"/>
              <w:szCs w:val="24"/>
            </w:rPr>
            <w:fldChar w:fldCharType="separate"/>
          </w:r>
          <w:r>
            <w:rPr>
              <w:rFonts w:hint="default"/>
              <w:sz w:val="24"/>
              <w:szCs w:val="24"/>
            </w:rPr>
            <w:t xml:space="preserve">1.2.4 </w:t>
          </w:r>
          <w:r>
            <w:rPr>
              <w:sz w:val="24"/>
              <w:szCs w:val="24"/>
            </w:rPr>
            <w:t>部门规章</w:t>
          </w:r>
          <w:r>
            <w:rPr>
              <w:sz w:val="24"/>
              <w:szCs w:val="24"/>
            </w:rPr>
            <w:tab/>
          </w:r>
          <w:r>
            <w:rPr>
              <w:sz w:val="24"/>
              <w:szCs w:val="24"/>
            </w:rPr>
            <w:fldChar w:fldCharType="begin"/>
          </w:r>
          <w:r>
            <w:rPr>
              <w:sz w:val="24"/>
              <w:szCs w:val="24"/>
            </w:rPr>
            <w:instrText xml:space="preserve"> PAGEREF _Toc4959 \h </w:instrText>
          </w:r>
          <w:r>
            <w:rPr>
              <w:sz w:val="24"/>
              <w:szCs w:val="24"/>
            </w:rPr>
            <w:fldChar w:fldCharType="separate"/>
          </w:r>
          <w:r>
            <w:rPr>
              <w:sz w:val="24"/>
              <w:szCs w:val="24"/>
            </w:rPr>
            <w:t>8</w:t>
          </w:r>
          <w:r>
            <w:rPr>
              <w:sz w:val="24"/>
              <w:szCs w:val="24"/>
            </w:rPr>
            <w:fldChar w:fldCharType="end"/>
          </w:r>
          <w:r>
            <w:rPr>
              <w:sz w:val="24"/>
              <w:szCs w:val="24"/>
            </w:rPr>
            <w:fldChar w:fldCharType="end"/>
          </w:r>
        </w:p>
        <w:p w14:paraId="566350A0">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_Toc5686 </w:instrText>
          </w:r>
          <w:r>
            <w:rPr>
              <w:sz w:val="24"/>
              <w:szCs w:val="24"/>
            </w:rPr>
            <w:fldChar w:fldCharType="separate"/>
          </w:r>
          <w:r>
            <w:rPr>
              <w:rFonts w:hint="default"/>
              <w:sz w:val="24"/>
              <w:szCs w:val="24"/>
            </w:rPr>
            <w:t xml:space="preserve">1.2.5 </w:t>
          </w:r>
          <w:r>
            <w:rPr>
              <w:sz w:val="24"/>
              <w:szCs w:val="24"/>
            </w:rPr>
            <w:t>规范性文件</w:t>
          </w:r>
          <w:r>
            <w:rPr>
              <w:sz w:val="24"/>
              <w:szCs w:val="24"/>
            </w:rPr>
            <w:tab/>
          </w:r>
          <w:r>
            <w:rPr>
              <w:sz w:val="24"/>
              <w:szCs w:val="24"/>
            </w:rPr>
            <w:fldChar w:fldCharType="begin"/>
          </w:r>
          <w:r>
            <w:rPr>
              <w:sz w:val="24"/>
              <w:szCs w:val="24"/>
            </w:rPr>
            <w:instrText xml:space="preserve"> PAGEREF _Toc5686 \h </w:instrText>
          </w:r>
          <w:r>
            <w:rPr>
              <w:sz w:val="24"/>
              <w:szCs w:val="24"/>
            </w:rPr>
            <w:fldChar w:fldCharType="separate"/>
          </w:r>
          <w:r>
            <w:rPr>
              <w:sz w:val="24"/>
              <w:szCs w:val="24"/>
            </w:rPr>
            <w:t>8</w:t>
          </w:r>
          <w:r>
            <w:rPr>
              <w:sz w:val="24"/>
              <w:szCs w:val="24"/>
            </w:rPr>
            <w:fldChar w:fldCharType="end"/>
          </w:r>
          <w:r>
            <w:rPr>
              <w:sz w:val="24"/>
              <w:szCs w:val="24"/>
            </w:rPr>
            <w:fldChar w:fldCharType="end"/>
          </w:r>
        </w:p>
        <w:p w14:paraId="239BE079">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_Toc367 </w:instrText>
          </w:r>
          <w:r>
            <w:rPr>
              <w:sz w:val="24"/>
              <w:szCs w:val="24"/>
            </w:rPr>
            <w:fldChar w:fldCharType="separate"/>
          </w:r>
          <w:r>
            <w:rPr>
              <w:rFonts w:hint="default"/>
              <w:sz w:val="24"/>
              <w:szCs w:val="24"/>
            </w:rPr>
            <w:t xml:space="preserve">1.2.6 </w:t>
          </w:r>
          <w:r>
            <w:rPr>
              <w:sz w:val="24"/>
              <w:szCs w:val="24"/>
            </w:rPr>
            <w:t>相关基础资料</w:t>
          </w:r>
          <w:r>
            <w:rPr>
              <w:sz w:val="24"/>
              <w:szCs w:val="24"/>
            </w:rPr>
            <w:tab/>
          </w:r>
          <w:r>
            <w:rPr>
              <w:sz w:val="24"/>
              <w:szCs w:val="24"/>
            </w:rPr>
            <w:fldChar w:fldCharType="begin"/>
          </w:r>
          <w:r>
            <w:rPr>
              <w:sz w:val="24"/>
              <w:szCs w:val="24"/>
            </w:rPr>
            <w:instrText xml:space="preserve"> PAGEREF _Toc367 \h </w:instrText>
          </w:r>
          <w:r>
            <w:rPr>
              <w:sz w:val="24"/>
              <w:szCs w:val="24"/>
            </w:rPr>
            <w:fldChar w:fldCharType="separate"/>
          </w:r>
          <w:r>
            <w:rPr>
              <w:sz w:val="24"/>
              <w:szCs w:val="24"/>
            </w:rPr>
            <w:t>8</w:t>
          </w:r>
          <w:r>
            <w:rPr>
              <w:sz w:val="24"/>
              <w:szCs w:val="24"/>
            </w:rPr>
            <w:fldChar w:fldCharType="end"/>
          </w:r>
          <w:r>
            <w:rPr>
              <w:sz w:val="24"/>
              <w:szCs w:val="24"/>
            </w:rPr>
            <w:fldChar w:fldCharType="end"/>
          </w:r>
        </w:p>
        <w:p w14:paraId="42DB19D3">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_Toc30393 </w:instrText>
          </w:r>
          <w:r>
            <w:rPr>
              <w:sz w:val="24"/>
              <w:szCs w:val="24"/>
            </w:rPr>
            <w:fldChar w:fldCharType="separate"/>
          </w:r>
          <w:r>
            <w:rPr>
              <w:rFonts w:hint="default"/>
              <w:sz w:val="24"/>
              <w:szCs w:val="24"/>
            </w:rPr>
            <w:t xml:space="preserve">1.3 </w:t>
          </w:r>
          <w:r>
            <w:rPr>
              <w:sz w:val="24"/>
              <w:szCs w:val="24"/>
            </w:rPr>
            <w:t>目标任务</w:t>
          </w:r>
          <w:r>
            <w:rPr>
              <w:sz w:val="24"/>
              <w:szCs w:val="24"/>
            </w:rPr>
            <w:tab/>
          </w:r>
          <w:r>
            <w:rPr>
              <w:sz w:val="24"/>
              <w:szCs w:val="24"/>
            </w:rPr>
            <w:fldChar w:fldCharType="begin"/>
          </w:r>
          <w:r>
            <w:rPr>
              <w:sz w:val="24"/>
              <w:szCs w:val="24"/>
            </w:rPr>
            <w:instrText xml:space="preserve"> PAGEREF _Toc30393 \h </w:instrText>
          </w:r>
          <w:r>
            <w:rPr>
              <w:sz w:val="24"/>
              <w:szCs w:val="24"/>
            </w:rPr>
            <w:fldChar w:fldCharType="separate"/>
          </w:r>
          <w:r>
            <w:rPr>
              <w:sz w:val="24"/>
              <w:szCs w:val="24"/>
            </w:rPr>
            <w:t>8</w:t>
          </w:r>
          <w:r>
            <w:rPr>
              <w:sz w:val="24"/>
              <w:szCs w:val="24"/>
            </w:rPr>
            <w:fldChar w:fldCharType="end"/>
          </w:r>
          <w:r>
            <w:rPr>
              <w:sz w:val="24"/>
              <w:szCs w:val="24"/>
            </w:rPr>
            <w:fldChar w:fldCharType="end"/>
          </w:r>
        </w:p>
        <w:p w14:paraId="53FC42F2">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_Toc31600 </w:instrText>
          </w:r>
          <w:r>
            <w:rPr>
              <w:sz w:val="24"/>
              <w:szCs w:val="24"/>
            </w:rPr>
            <w:fldChar w:fldCharType="separate"/>
          </w:r>
          <w:r>
            <w:rPr>
              <w:rFonts w:hint="default"/>
              <w:sz w:val="24"/>
              <w:szCs w:val="24"/>
            </w:rPr>
            <w:t xml:space="preserve">1.3.1 </w:t>
          </w:r>
          <w:r>
            <w:rPr>
              <w:sz w:val="24"/>
              <w:szCs w:val="24"/>
            </w:rPr>
            <w:t>规划期限</w:t>
          </w:r>
          <w:r>
            <w:rPr>
              <w:sz w:val="24"/>
              <w:szCs w:val="24"/>
            </w:rPr>
            <w:tab/>
          </w:r>
          <w:r>
            <w:rPr>
              <w:sz w:val="24"/>
              <w:szCs w:val="24"/>
            </w:rPr>
            <w:fldChar w:fldCharType="begin"/>
          </w:r>
          <w:r>
            <w:rPr>
              <w:sz w:val="24"/>
              <w:szCs w:val="24"/>
            </w:rPr>
            <w:instrText xml:space="preserve"> PAGEREF _Toc31600 \h </w:instrText>
          </w:r>
          <w:r>
            <w:rPr>
              <w:sz w:val="24"/>
              <w:szCs w:val="24"/>
            </w:rPr>
            <w:fldChar w:fldCharType="separate"/>
          </w:r>
          <w:r>
            <w:rPr>
              <w:sz w:val="24"/>
              <w:szCs w:val="24"/>
            </w:rPr>
            <w:t>9</w:t>
          </w:r>
          <w:r>
            <w:rPr>
              <w:sz w:val="24"/>
              <w:szCs w:val="24"/>
            </w:rPr>
            <w:fldChar w:fldCharType="end"/>
          </w:r>
          <w:r>
            <w:rPr>
              <w:sz w:val="24"/>
              <w:szCs w:val="24"/>
            </w:rPr>
            <w:fldChar w:fldCharType="end"/>
          </w:r>
        </w:p>
        <w:p w14:paraId="6EDE19B9">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_Toc25402 </w:instrText>
          </w:r>
          <w:r>
            <w:rPr>
              <w:sz w:val="24"/>
              <w:szCs w:val="24"/>
            </w:rPr>
            <w:fldChar w:fldCharType="separate"/>
          </w:r>
          <w:r>
            <w:rPr>
              <w:rFonts w:hint="default"/>
              <w:sz w:val="24"/>
              <w:szCs w:val="24"/>
            </w:rPr>
            <w:t xml:space="preserve">1.3.2 </w:t>
          </w:r>
          <w:r>
            <w:rPr>
              <w:sz w:val="24"/>
              <w:szCs w:val="24"/>
            </w:rPr>
            <w:t>规划目标</w:t>
          </w:r>
          <w:r>
            <w:rPr>
              <w:sz w:val="24"/>
              <w:szCs w:val="24"/>
            </w:rPr>
            <w:tab/>
          </w:r>
          <w:r>
            <w:rPr>
              <w:sz w:val="24"/>
              <w:szCs w:val="24"/>
            </w:rPr>
            <w:fldChar w:fldCharType="begin"/>
          </w:r>
          <w:r>
            <w:rPr>
              <w:sz w:val="24"/>
              <w:szCs w:val="24"/>
            </w:rPr>
            <w:instrText xml:space="preserve"> PAGEREF _Toc25402 \h </w:instrText>
          </w:r>
          <w:r>
            <w:rPr>
              <w:sz w:val="24"/>
              <w:szCs w:val="24"/>
            </w:rPr>
            <w:fldChar w:fldCharType="separate"/>
          </w:r>
          <w:r>
            <w:rPr>
              <w:sz w:val="24"/>
              <w:szCs w:val="24"/>
            </w:rPr>
            <w:t>9</w:t>
          </w:r>
          <w:r>
            <w:rPr>
              <w:sz w:val="24"/>
              <w:szCs w:val="24"/>
            </w:rPr>
            <w:fldChar w:fldCharType="end"/>
          </w:r>
          <w:r>
            <w:rPr>
              <w:sz w:val="24"/>
              <w:szCs w:val="24"/>
            </w:rPr>
            <w:fldChar w:fldCharType="end"/>
          </w:r>
        </w:p>
        <w:p w14:paraId="3C32C932">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_Toc7930 </w:instrText>
          </w:r>
          <w:r>
            <w:rPr>
              <w:sz w:val="24"/>
              <w:szCs w:val="24"/>
            </w:rPr>
            <w:fldChar w:fldCharType="separate"/>
          </w:r>
          <w:r>
            <w:rPr>
              <w:rFonts w:hint="default"/>
              <w:sz w:val="24"/>
              <w:szCs w:val="24"/>
            </w:rPr>
            <w:t xml:space="preserve">1.3.3 </w:t>
          </w:r>
          <w:r>
            <w:rPr>
              <w:sz w:val="24"/>
              <w:szCs w:val="24"/>
            </w:rPr>
            <w:t>重点任务</w:t>
          </w:r>
          <w:r>
            <w:rPr>
              <w:sz w:val="24"/>
              <w:szCs w:val="24"/>
            </w:rPr>
            <w:tab/>
          </w:r>
          <w:r>
            <w:rPr>
              <w:sz w:val="24"/>
              <w:szCs w:val="24"/>
            </w:rPr>
            <w:fldChar w:fldCharType="begin"/>
          </w:r>
          <w:r>
            <w:rPr>
              <w:sz w:val="24"/>
              <w:szCs w:val="24"/>
            </w:rPr>
            <w:instrText xml:space="preserve"> PAGEREF _Toc7930 \h </w:instrText>
          </w:r>
          <w:r>
            <w:rPr>
              <w:sz w:val="24"/>
              <w:szCs w:val="24"/>
            </w:rPr>
            <w:fldChar w:fldCharType="separate"/>
          </w:r>
          <w:r>
            <w:rPr>
              <w:sz w:val="24"/>
              <w:szCs w:val="24"/>
            </w:rPr>
            <w:t>10</w:t>
          </w:r>
          <w:r>
            <w:rPr>
              <w:sz w:val="24"/>
              <w:szCs w:val="24"/>
            </w:rPr>
            <w:fldChar w:fldCharType="end"/>
          </w:r>
          <w:r>
            <w:rPr>
              <w:sz w:val="24"/>
              <w:szCs w:val="24"/>
            </w:rPr>
            <w:fldChar w:fldCharType="end"/>
          </w:r>
        </w:p>
        <w:p w14:paraId="5CD0D466">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_Toc21391 </w:instrText>
          </w:r>
          <w:r>
            <w:rPr>
              <w:sz w:val="24"/>
              <w:szCs w:val="24"/>
            </w:rPr>
            <w:fldChar w:fldCharType="separate"/>
          </w:r>
          <w:r>
            <w:rPr>
              <w:rFonts w:hint="default"/>
              <w:sz w:val="24"/>
              <w:szCs w:val="24"/>
            </w:rPr>
            <w:t xml:space="preserve">1.4 </w:t>
          </w:r>
          <w:r>
            <w:rPr>
              <w:sz w:val="24"/>
              <w:szCs w:val="24"/>
            </w:rPr>
            <w:t>规划的基本原则</w:t>
          </w:r>
          <w:r>
            <w:rPr>
              <w:sz w:val="24"/>
              <w:szCs w:val="24"/>
            </w:rPr>
            <w:tab/>
          </w:r>
          <w:r>
            <w:rPr>
              <w:sz w:val="24"/>
              <w:szCs w:val="24"/>
            </w:rPr>
            <w:fldChar w:fldCharType="begin"/>
          </w:r>
          <w:r>
            <w:rPr>
              <w:sz w:val="24"/>
              <w:szCs w:val="24"/>
            </w:rPr>
            <w:instrText xml:space="preserve"> PAGEREF _Toc21391 \h </w:instrText>
          </w:r>
          <w:r>
            <w:rPr>
              <w:sz w:val="24"/>
              <w:szCs w:val="24"/>
            </w:rPr>
            <w:fldChar w:fldCharType="separate"/>
          </w:r>
          <w:r>
            <w:rPr>
              <w:sz w:val="24"/>
              <w:szCs w:val="24"/>
            </w:rPr>
            <w:t>10</w:t>
          </w:r>
          <w:r>
            <w:rPr>
              <w:sz w:val="24"/>
              <w:szCs w:val="24"/>
            </w:rPr>
            <w:fldChar w:fldCharType="end"/>
          </w:r>
          <w:r>
            <w:rPr>
              <w:sz w:val="24"/>
              <w:szCs w:val="24"/>
            </w:rPr>
            <w:fldChar w:fldCharType="end"/>
          </w:r>
        </w:p>
        <w:p w14:paraId="779D3F87">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_Toc31427 </w:instrText>
          </w:r>
          <w:r>
            <w:rPr>
              <w:sz w:val="24"/>
              <w:szCs w:val="24"/>
            </w:rPr>
            <w:fldChar w:fldCharType="separate"/>
          </w:r>
          <w:r>
            <w:rPr>
              <w:rFonts w:hint="default"/>
              <w:sz w:val="24"/>
              <w:szCs w:val="24"/>
            </w:rPr>
            <w:t xml:space="preserve">1.5 </w:t>
          </w:r>
          <w:r>
            <w:rPr>
              <w:sz w:val="24"/>
              <w:szCs w:val="24"/>
            </w:rPr>
            <w:t>规划范围</w:t>
          </w:r>
          <w:r>
            <w:rPr>
              <w:sz w:val="24"/>
              <w:szCs w:val="24"/>
            </w:rPr>
            <w:tab/>
          </w:r>
          <w:r>
            <w:rPr>
              <w:sz w:val="24"/>
              <w:szCs w:val="24"/>
            </w:rPr>
            <w:fldChar w:fldCharType="begin"/>
          </w:r>
          <w:r>
            <w:rPr>
              <w:sz w:val="24"/>
              <w:szCs w:val="24"/>
            </w:rPr>
            <w:instrText xml:space="preserve"> PAGEREF _Toc31427 \h </w:instrText>
          </w:r>
          <w:r>
            <w:rPr>
              <w:sz w:val="24"/>
              <w:szCs w:val="24"/>
            </w:rPr>
            <w:fldChar w:fldCharType="separate"/>
          </w:r>
          <w:r>
            <w:rPr>
              <w:sz w:val="24"/>
              <w:szCs w:val="24"/>
            </w:rPr>
            <w:t>11</w:t>
          </w:r>
          <w:r>
            <w:rPr>
              <w:sz w:val="24"/>
              <w:szCs w:val="24"/>
            </w:rPr>
            <w:fldChar w:fldCharType="end"/>
          </w:r>
          <w:r>
            <w:rPr>
              <w:sz w:val="24"/>
              <w:szCs w:val="24"/>
            </w:rPr>
            <w:fldChar w:fldCharType="end"/>
          </w:r>
        </w:p>
        <w:p w14:paraId="373781BA">
          <w:pPr>
            <w:pStyle w:val="16"/>
            <w:tabs>
              <w:tab w:val="right" w:leader="dot" w:pos="9242"/>
            </w:tabs>
            <w:spacing w:line="360" w:lineRule="auto"/>
            <w:rPr>
              <w:sz w:val="24"/>
              <w:szCs w:val="24"/>
            </w:rPr>
          </w:pPr>
          <w:r>
            <w:rPr>
              <w:sz w:val="24"/>
              <w:szCs w:val="24"/>
            </w:rPr>
            <w:fldChar w:fldCharType="begin"/>
          </w:r>
          <w:r>
            <w:rPr>
              <w:sz w:val="24"/>
              <w:szCs w:val="24"/>
            </w:rPr>
            <w:instrText xml:space="preserve"> HYPERLINK \l _Toc254 </w:instrText>
          </w:r>
          <w:r>
            <w:rPr>
              <w:sz w:val="24"/>
              <w:szCs w:val="24"/>
            </w:rPr>
            <w:fldChar w:fldCharType="separate"/>
          </w:r>
          <w:r>
            <w:rPr>
              <w:rFonts w:hint="eastAsia"/>
              <w:sz w:val="24"/>
              <w:szCs w:val="24"/>
            </w:rPr>
            <w:t xml:space="preserve">第二章 </w:t>
          </w:r>
          <w:r>
            <w:rPr>
              <w:sz w:val="24"/>
              <w:szCs w:val="24"/>
            </w:rPr>
            <w:t>养殖水域滩涂利用评价</w:t>
          </w:r>
          <w:r>
            <w:rPr>
              <w:sz w:val="24"/>
              <w:szCs w:val="24"/>
            </w:rPr>
            <w:tab/>
          </w:r>
          <w:r>
            <w:rPr>
              <w:sz w:val="24"/>
              <w:szCs w:val="24"/>
            </w:rPr>
            <w:fldChar w:fldCharType="begin"/>
          </w:r>
          <w:r>
            <w:rPr>
              <w:sz w:val="24"/>
              <w:szCs w:val="24"/>
            </w:rPr>
            <w:instrText xml:space="preserve"> PAGEREF _Toc254 \h </w:instrText>
          </w:r>
          <w:r>
            <w:rPr>
              <w:sz w:val="24"/>
              <w:szCs w:val="24"/>
            </w:rPr>
            <w:fldChar w:fldCharType="separate"/>
          </w:r>
          <w:r>
            <w:rPr>
              <w:sz w:val="24"/>
              <w:szCs w:val="24"/>
            </w:rPr>
            <w:t>12</w:t>
          </w:r>
          <w:r>
            <w:rPr>
              <w:sz w:val="24"/>
              <w:szCs w:val="24"/>
            </w:rPr>
            <w:fldChar w:fldCharType="end"/>
          </w:r>
          <w:r>
            <w:rPr>
              <w:sz w:val="24"/>
              <w:szCs w:val="24"/>
            </w:rPr>
            <w:fldChar w:fldCharType="end"/>
          </w:r>
        </w:p>
        <w:p w14:paraId="4C084C14">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_Toc23224 </w:instrText>
          </w:r>
          <w:r>
            <w:rPr>
              <w:sz w:val="24"/>
              <w:szCs w:val="24"/>
            </w:rPr>
            <w:fldChar w:fldCharType="separate"/>
          </w:r>
          <w:r>
            <w:rPr>
              <w:rFonts w:hint="default"/>
              <w:sz w:val="24"/>
              <w:szCs w:val="24"/>
            </w:rPr>
            <w:t xml:space="preserve">2.1 </w:t>
          </w:r>
          <w:r>
            <w:rPr>
              <w:sz w:val="24"/>
              <w:szCs w:val="24"/>
            </w:rPr>
            <w:t>水域滩涂承载力分析</w:t>
          </w:r>
          <w:r>
            <w:rPr>
              <w:sz w:val="24"/>
              <w:szCs w:val="24"/>
            </w:rPr>
            <w:tab/>
          </w:r>
          <w:r>
            <w:rPr>
              <w:sz w:val="24"/>
              <w:szCs w:val="24"/>
            </w:rPr>
            <w:fldChar w:fldCharType="begin"/>
          </w:r>
          <w:r>
            <w:rPr>
              <w:sz w:val="24"/>
              <w:szCs w:val="24"/>
            </w:rPr>
            <w:instrText xml:space="preserve"> PAGEREF _Toc23224 \h </w:instrText>
          </w:r>
          <w:r>
            <w:rPr>
              <w:sz w:val="24"/>
              <w:szCs w:val="24"/>
            </w:rPr>
            <w:fldChar w:fldCharType="separate"/>
          </w:r>
          <w:r>
            <w:rPr>
              <w:sz w:val="24"/>
              <w:szCs w:val="24"/>
            </w:rPr>
            <w:t>12</w:t>
          </w:r>
          <w:r>
            <w:rPr>
              <w:sz w:val="24"/>
              <w:szCs w:val="24"/>
            </w:rPr>
            <w:fldChar w:fldCharType="end"/>
          </w:r>
          <w:r>
            <w:rPr>
              <w:sz w:val="24"/>
              <w:szCs w:val="24"/>
            </w:rPr>
            <w:fldChar w:fldCharType="end"/>
          </w:r>
        </w:p>
        <w:p w14:paraId="41D32EE3">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_Toc10362 </w:instrText>
          </w:r>
          <w:r>
            <w:rPr>
              <w:sz w:val="24"/>
              <w:szCs w:val="24"/>
            </w:rPr>
            <w:fldChar w:fldCharType="separate"/>
          </w:r>
          <w:r>
            <w:rPr>
              <w:rFonts w:hint="default"/>
              <w:sz w:val="24"/>
              <w:szCs w:val="24"/>
            </w:rPr>
            <w:t xml:space="preserve">2.1.1 </w:t>
          </w:r>
          <w:r>
            <w:rPr>
              <w:sz w:val="24"/>
              <w:szCs w:val="24"/>
            </w:rPr>
            <w:t>水域滩涂资源状况</w:t>
          </w:r>
          <w:r>
            <w:rPr>
              <w:sz w:val="24"/>
              <w:szCs w:val="24"/>
            </w:rPr>
            <w:tab/>
          </w:r>
          <w:r>
            <w:rPr>
              <w:sz w:val="24"/>
              <w:szCs w:val="24"/>
            </w:rPr>
            <w:fldChar w:fldCharType="begin"/>
          </w:r>
          <w:r>
            <w:rPr>
              <w:sz w:val="24"/>
              <w:szCs w:val="24"/>
            </w:rPr>
            <w:instrText xml:space="preserve"> PAGEREF _Toc10362 \h </w:instrText>
          </w:r>
          <w:r>
            <w:rPr>
              <w:sz w:val="24"/>
              <w:szCs w:val="24"/>
            </w:rPr>
            <w:fldChar w:fldCharType="separate"/>
          </w:r>
          <w:r>
            <w:rPr>
              <w:sz w:val="24"/>
              <w:szCs w:val="24"/>
            </w:rPr>
            <w:t>12</w:t>
          </w:r>
          <w:r>
            <w:rPr>
              <w:sz w:val="24"/>
              <w:szCs w:val="24"/>
            </w:rPr>
            <w:fldChar w:fldCharType="end"/>
          </w:r>
          <w:r>
            <w:rPr>
              <w:sz w:val="24"/>
              <w:szCs w:val="24"/>
            </w:rPr>
            <w:fldChar w:fldCharType="end"/>
          </w:r>
        </w:p>
        <w:p w14:paraId="23EC432F">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_Toc3537 </w:instrText>
          </w:r>
          <w:r>
            <w:rPr>
              <w:sz w:val="24"/>
              <w:szCs w:val="24"/>
            </w:rPr>
            <w:fldChar w:fldCharType="separate"/>
          </w:r>
          <w:r>
            <w:rPr>
              <w:rFonts w:hint="default"/>
              <w:sz w:val="24"/>
              <w:szCs w:val="24"/>
            </w:rPr>
            <w:t xml:space="preserve">2.1.2 </w:t>
          </w:r>
          <w:r>
            <w:rPr>
              <w:sz w:val="24"/>
              <w:szCs w:val="24"/>
            </w:rPr>
            <w:t>自然气候条件</w:t>
          </w:r>
          <w:r>
            <w:rPr>
              <w:sz w:val="24"/>
              <w:szCs w:val="24"/>
            </w:rPr>
            <w:tab/>
          </w:r>
          <w:r>
            <w:rPr>
              <w:sz w:val="24"/>
              <w:szCs w:val="24"/>
            </w:rPr>
            <w:fldChar w:fldCharType="begin"/>
          </w:r>
          <w:r>
            <w:rPr>
              <w:sz w:val="24"/>
              <w:szCs w:val="24"/>
            </w:rPr>
            <w:instrText xml:space="preserve"> PAGEREF _Toc3537 \h </w:instrText>
          </w:r>
          <w:r>
            <w:rPr>
              <w:sz w:val="24"/>
              <w:szCs w:val="24"/>
            </w:rPr>
            <w:fldChar w:fldCharType="separate"/>
          </w:r>
          <w:r>
            <w:rPr>
              <w:sz w:val="24"/>
              <w:szCs w:val="24"/>
            </w:rPr>
            <w:t>14</w:t>
          </w:r>
          <w:r>
            <w:rPr>
              <w:sz w:val="24"/>
              <w:szCs w:val="24"/>
            </w:rPr>
            <w:fldChar w:fldCharType="end"/>
          </w:r>
          <w:r>
            <w:rPr>
              <w:sz w:val="24"/>
              <w:szCs w:val="24"/>
            </w:rPr>
            <w:fldChar w:fldCharType="end"/>
          </w:r>
        </w:p>
        <w:p w14:paraId="69F4438F">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_Toc5029 </w:instrText>
          </w:r>
          <w:r>
            <w:rPr>
              <w:sz w:val="24"/>
              <w:szCs w:val="24"/>
            </w:rPr>
            <w:fldChar w:fldCharType="separate"/>
          </w:r>
          <w:r>
            <w:rPr>
              <w:rFonts w:hint="default"/>
              <w:sz w:val="24"/>
              <w:szCs w:val="24"/>
            </w:rPr>
            <w:t xml:space="preserve">2.1.3 </w:t>
          </w:r>
          <w:r>
            <w:rPr>
              <w:sz w:val="24"/>
              <w:szCs w:val="24"/>
            </w:rPr>
            <w:t>水生生物资源状况</w:t>
          </w:r>
          <w:r>
            <w:rPr>
              <w:sz w:val="24"/>
              <w:szCs w:val="24"/>
            </w:rPr>
            <w:tab/>
          </w:r>
          <w:r>
            <w:rPr>
              <w:sz w:val="24"/>
              <w:szCs w:val="24"/>
            </w:rPr>
            <w:fldChar w:fldCharType="begin"/>
          </w:r>
          <w:r>
            <w:rPr>
              <w:sz w:val="24"/>
              <w:szCs w:val="24"/>
            </w:rPr>
            <w:instrText xml:space="preserve"> PAGEREF _Toc5029 \h </w:instrText>
          </w:r>
          <w:r>
            <w:rPr>
              <w:sz w:val="24"/>
              <w:szCs w:val="24"/>
            </w:rPr>
            <w:fldChar w:fldCharType="separate"/>
          </w:r>
          <w:r>
            <w:rPr>
              <w:sz w:val="24"/>
              <w:szCs w:val="24"/>
            </w:rPr>
            <w:t>16</w:t>
          </w:r>
          <w:r>
            <w:rPr>
              <w:sz w:val="24"/>
              <w:szCs w:val="24"/>
            </w:rPr>
            <w:fldChar w:fldCharType="end"/>
          </w:r>
          <w:r>
            <w:rPr>
              <w:sz w:val="24"/>
              <w:szCs w:val="24"/>
            </w:rPr>
            <w:fldChar w:fldCharType="end"/>
          </w:r>
        </w:p>
        <w:p w14:paraId="43515A5D">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_Toc15243 </w:instrText>
          </w:r>
          <w:r>
            <w:rPr>
              <w:sz w:val="24"/>
              <w:szCs w:val="24"/>
            </w:rPr>
            <w:fldChar w:fldCharType="separate"/>
          </w:r>
          <w:r>
            <w:rPr>
              <w:rFonts w:hint="default"/>
              <w:sz w:val="24"/>
              <w:szCs w:val="24"/>
            </w:rPr>
            <w:t xml:space="preserve">2.1.4 </w:t>
          </w:r>
          <w:r>
            <w:rPr>
              <w:sz w:val="24"/>
              <w:szCs w:val="24"/>
            </w:rPr>
            <w:t>水域环境状况</w:t>
          </w:r>
          <w:r>
            <w:rPr>
              <w:sz w:val="24"/>
              <w:szCs w:val="24"/>
            </w:rPr>
            <w:tab/>
          </w:r>
          <w:r>
            <w:rPr>
              <w:sz w:val="24"/>
              <w:szCs w:val="24"/>
            </w:rPr>
            <w:fldChar w:fldCharType="begin"/>
          </w:r>
          <w:r>
            <w:rPr>
              <w:sz w:val="24"/>
              <w:szCs w:val="24"/>
            </w:rPr>
            <w:instrText xml:space="preserve"> PAGEREF _Toc15243 \h </w:instrText>
          </w:r>
          <w:r>
            <w:rPr>
              <w:sz w:val="24"/>
              <w:szCs w:val="24"/>
            </w:rPr>
            <w:fldChar w:fldCharType="separate"/>
          </w:r>
          <w:r>
            <w:rPr>
              <w:sz w:val="24"/>
              <w:szCs w:val="24"/>
            </w:rPr>
            <w:t>17</w:t>
          </w:r>
          <w:r>
            <w:rPr>
              <w:sz w:val="24"/>
              <w:szCs w:val="24"/>
            </w:rPr>
            <w:fldChar w:fldCharType="end"/>
          </w:r>
          <w:r>
            <w:rPr>
              <w:sz w:val="24"/>
              <w:szCs w:val="24"/>
            </w:rPr>
            <w:fldChar w:fldCharType="end"/>
          </w:r>
        </w:p>
        <w:p w14:paraId="22C585DA">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_Toc18147 </w:instrText>
          </w:r>
          <w:r>
            <w:rPr>
              <w:sz w:val="24"/>
              <w:szCs w:val="24"/>
            </w:rPr>
            <w:fldChar w:fldCharType="separate"/>
          </w:r>
          <w:r>
            <w:rPr>
              <w:rFonts w:hint="default"/>
              <w:sz w:val="24"/>
              <w:szCs w:val="24"/>
            </w:rPr>
            <w:t xml:space="preserve">2.1.5 </w:t>
          </w:r>
          <w:r>
            <w:rPr>
              <w:sz w:val="24"/>
              <w:szCs w:val="24"/>
            </w:rPr>
            <w:t>水域滩涂承载力评价</w:t>
          </w:r>
          <w:r>
            <w:rPr>
              <w:sz w:val="24"/>
              <w:szCs w:val="24"/>
            </w:rPr>
            <w:tab/>
          </w:r>
          <w:r>
            <w:rPr>
              <w:sz w:val="24"/>
              <w:szCs w:val="24"/>
            </w:rPr>
            <w:fldChar w:fldCharType="begin"/>
          </w:r>
          <w:r>
            <w:rPr>
              <w:sz w:val="24"/>
              <w:szCs w:val="24"/>
            </w:rPr>
            <w:instrText xml:space="preserve"> PAGEREF _Toc18147 \h </w:instrText>
          </w:r>
          <w:r>
            <w:rPr>
              <w:sz w:val="24"/>
              <w:szCs w:val="24"/>
            </w:rPr>
            <w:fldChar w:fldCharType="separate"/>
          </w:r>
          <w:r>
            <w:rPr>
              <w:sz w:val="24"/>
              <w:szCs w:val="24"/>
            </w:rPr>
            <w:t>18</w:t>
          </w:r>
          <w:r>
            <w:rPr>
              <w:sz w:val="24"/>
              <w:szCs w:val="24"/>
            </w:rPr>
            <w:fldChar w:fldCharType="end"/>
          </w:r>
          <w:r>
            <w:rPr>
              <w:sz w:val="24"/>
              <w:szCs w:val="24"/>
            </w:rPr>
            <w:fldChar w:fldCharType="end"/>
          </w:r>
        </w:p>
        <w:p w14:paraId="756280EA">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_Toc20015 </w:instrText>
          </w:r>
          <w:r>
            <w:rPr>
              <w:sz w:val="24"/>
              <w:szCs w:val="24"/>
            </w:rPr>
            <w:fldChar w:fldCharType="separate"/>
          </w:r>
          <w:r>
            <w:rPr>
              <w:rFonts w:hint="default"/>
              <w:sz w:val="24"/>
              <w:szCs w:val="24"/>
            </w:rPr>
            <w:t xml:space="preserve">2.2 </w:t>
          </w:r>
          <w:r>
            <w:rPr>
              <w:sz w:val="24"/>
              <w:szCs w:val="24"/>
            </w:rPr>
            <w:t>水产养殖产业发展分析</w:t>
          </w:r>
          <w:r>
            <w:rPr>
              <w:sz w:val="24"/>
              <w:szCs w:val="24"/>
            </w:rPr>
            <w:tab/>
          </w:r>
          <w:r>
            <w:rPr>
              <w:sz w:val="24"/>
              <w:szCs w:val="24"/>
            </w:rPr>
            <w:fldChar w:fldCharType="begin"/>
          </w:r>
          <w:r>
            <w:rPr>
              <w:sz w:val="24"/>
              <w:szCs w:val="24"/>
            </w:rPr>
            <w:instrText xml:space="preserve"> PAGEREF _Toc20015 \h </w:instrText>
          </w:r>
          <w:r>
            <w:rPr>
              <w:sz w:val="24"/>
              <w:szCs w:val="24"/>
            </w:rPr>
            <w:fldChar w:fldCharType="separate"/>
          </w:r>
          <w:r>
            <w:rPr>
              <w:sz w:val="24"/>
              <w:szCs w:val="24"/>
            </w:rPr>
            <w:t>19</w:t>
          </w:r>
          <w:r>
            <w:rPr>
              <w:sz w:val="24"/>
              <w:szCs w:val="24"/>
            </w:rPr>
            <w:fldChar w:fldCharType="end"/>
          </w:r>
          <w:r>
            <w:rPr>
              <w:sz w:val="24"/>
              <w:szCs w:val="24"/>
            </w:rPr>
            <w:fldChar w:fldCharType="end"/>
          </w:r>
        </w:p>
        <w:p w14:paraId="07011558">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_Toc25860 </w:instrText>
          </w:r>
          <w:r>
            <w:rPr>
              <w:sz w:val="24"/>
              <w:szCs w:val="24"/>
            </w:rPr>
            <w:fldChar w:fldCharType="separate"/>
          </w:r>
          <w:r>
            <w:rPr>
              <w:rFonts w:hint="default"/>
              <w:sz w:val="24"/>
              <w:szCs w:val="24"/>
            </w:rPr>
            <w:t xml:space="preserve">2.2.1 </w:t>
          </w:r>
          <w:r>
            <w:rPr>
              <w:sz w:val="24"/>
              <w:szCs w:val="24"/>
            </w:rPr>
            <w:t>水产养殖发展现状</w:t>
          </w:r>
          <w:r>
            <w:rPr>
              <w:sz w:val="24"/>
              <w:szCs w:val="24"/>
            </w:rPr>
            <w:tab/>
          </w:r>
          <w:r>
            <w:rPr>
              <w:sz w:val="24"/>
              <w:szCs w:val="24"/>
            </w:rPr>
            <w:fldChar w:fldCharType="begin"/>
          </w:r>
          <w:r>
            <w:rPr>
              <w:sz w:val="24"/>
              <w:szCs w:val="24"/>
            </w:rPr>
            <w:instrText xml:space="preserve"> PAGEREF _Toc25860 \h </w:instrText>
          </w:r>
          <w:r>
            <w:rPr>
              <w:sz w:val="24"/>
              <w:szCs w:val="24"/>
            </w:rPr>
            <w:fldChar w:fldCharType="separate"/>
          </w:r>
          <w:r>
            <w:rPr>
              <w:sz w:val="24"/>
              <w:szCs w:val="24"/>
            </w:rPr>
            <w:t>19</w:t>
          </w:r>
          <w:r>
            <w:rPr>
              <w:sz w:val="24"/>
              <w:szCs w:val="24"/>
            </w:rPr>
            <w:fldChar w:fldCharType="end"/>
          </w:r>
          <w:r>
            <w:rPr>
              <w:sz w:val="24"/>
              <w:szCs w:val="24"/>
            </w:rPr>
            <w:fldChar w:fldCharType="end"/>
          </w:r>
        </w:p>
        <w:p w14:paraId="65B6A547">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_Toc24651 </w:instrText>
          </w:r>
          <w:r>
            <w:rPr>
              <w:sz w:val="24"/>
              <w:szCs w:val="24"/>
            </w:rPr>
            <w:fldChar w:fldCharType="separate"/>
          </w:r>
          <w:r>
            <w:rPr>
              <w:rFonts w:hint="default"/>
              <w:sz w:val="24"/>
              <w:szCs w:val="24"/>
            </w:rPr>
            <w:t xml:space="preserve">2.2.2 </w:t>
          </w:r>
          <w:r>
            <w:rPr>
              <w:sz w:val="24"/>
              <w:szCs w:val="24"/>
            </w:rPr>
            <w:t>区域经济发展方向</w:t>
          </w:r>
          <w:r>
            <w:rPr>
              <w:sz w:val="24"/>
              <w:szCs w:val="24"/>
            </w:rPr>
            <w:tab/>
          </w:r>
          <w:r>
            <w:rPr>
              <w:sz w:val="24"/>
              <w:szCs w:val="24"/>
            </w:rPr>
            <w:fldChar w:fldCharType="begin"/>
          </w:r>
          <w:r>
            <w:rPr>
              <w:sz w:val="24"/>
              <w:szCs w:val="24"/>
            </w:rPr>
            <w:instrText xml:space="preserve"> PAGEREF _Toc24651 \h </w:instrText>
          </w:r>
          <w:r>
            <w:rPr>
              <w:sz w:val="24"/>
              <w:szCs w:val="24"/>
            </w:rPr>
            <w:fldChar w:fldCharType="separate"/>
          </w:r>
          <w:r>
            <w:rPr>
              <w:sz w:val="24"/>
              <w:szCs w:val="24"/>
            </w:rPr>
            <w:t>20</w:t>
          </w:r>
          <w:r>
            <w:rPr>
              <w:sz w:val="24"/>
              <w:szCs w:val="24"/>
            </w:rPr>
            <w:fldChar w:fldCharType="end"/>
          </w:r>
          <w:r>
            <w:rPr>
              <w:sz w:val="24"/>
              <w:szCs w:val="24"/>
            </w:rPr>
            <w:fldChar w:fldCharType="end"/>
          </w:r>
        </w:p>
        <w:p w14:paraId="0F4BFEF9">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_Toc7507 </w:instrText>
          </w:r>
          <w:r>
            <w:rPr>
              <w:sz w:val="24"/>
              <w:szCs w:val="24"/>
            </w:rPr>
            <w:fldChar w:fldCharType="separate"/>
          </w:r>
          <w:r>
            <w:rPr>
              <w:rFonts w:hint="default"/>
              <w:sz w:val="24"/>
              <w:szCs w:val="24"/>
            </w:rPr>
            <w:t xml:space="preserve">2.2.3 </w:t>
          </w:r>
          <w:r>
            <w:rPr>
              <w:sz w:val="24"/>
              <w:szCs w:val="24"/>
            </w:rPr>
            <w:t>水产养殖前景预测</w:t>
          </w:r>
          <w:r>
            <w:rPr>
              <w:sz w:val="24"/>
              <w:szCs w:val="24"/>
            </w:rPr>
            <w:tab/>
          </w:r>
          <w:r>
            <w:rPr>
              <w:sz w:val="24"/>
              <w:szCs w:val="24"/>
            </w:rPr>
            <w:fldChar w:fldCharType="begin"/>
          </w:r>
          <w:r>
            <w:rPr>
              <w:sz w:val="24"/>
              <w:szCs w:val="24"/>
            </w:rPr>
            <w:instrText xml:space="preserve"> PAGEREF _Toc7507 \h </w:instrText>
          </w:r>
          <w:r>
            <w:rPr>
              <w:sz w:val="24"/>
              <w:szCs w:val="24"/>
            </w:rPr>
            <w:fldChar w:fldCharType="separate"/>
          </w:r>
          <w:r>
            <w:rPr>
              <w:sz w:val="24"/>
              <w:szCs w:val="24"/>
            </w:rPr>
            <w:t>23</w:t>
          </w:r>
          <w:r>
            <w:rPr>
              <w:sz w:val="24"/>
              <w:szCs w:val="24"/>
            </w:rPr>
            <w:fldChar w:fldCharType="end"/>
          </w:r>
          <w:r>
            <w:rPr>
              <w:sz w:val="24"/>
              <w:szCs w:val="24"/>
            </w:rPr>
            <w:fldChar w:fldCharType="end"/>
          </w:r>
        </w:p>
        <w:p w14:paraId="4B12A4C6">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_Toc20240 </w:instrText>
          </w:r>
          <w:r>
            <w:rPr>
              <w:sz w:val="24"/>
              <w:szCs w:val="24"/>
            </w:rPr>
            <w:fldChar w:fldCharType="separate"/>
          </w:r>
          <w:r>
            <w:rPr>
              <w:rFonts w:hint="default" w:ascii="Times New Roman" w:hAnsi="Times New Roman" w:eastAsia="宋体" w:cs="Times New Roman"/>
              <w:kern w:val="2"/>
              <w:sz w:val="24"/>
              <w:szCs w:val="24"/>
              <w:lang w:bidi="ar-SA"/>
            </w:rPr>
            <w:t xml:space="preserve">2.2.4 </w:t>
          </w:r>
          <w:r>
            <w:rPr>
              <w:sz w:val="24"/>
              <w:szCs w:val="24"/>
            </w:rPr>
            <w:t>养殖水域滩涂开发总体思路</w:t>
          </w:r>
          <w:r>
            <w:rPr>
              <w:sz w:val="24"/>
              <w:szCs w:val="24"/>
            </w:rPr>
            <w:tab/>
          </w:r>
          <w:r>
            <w:rPr>
              <w:sz w:val="24"/>
              <w:szCs w:val="24"/>
            </w:rPr>
            <w:fldChar w:fldCharType="begin"/>
          </w:r>
          <w:r>
            <w:rPr>
              <w:sz w:val="24"/>
              <w:szCs w:val="24"/>
            </w:rPr>
            <w:instrText xml:space="preserve"> PAGEREF _Toc20240 \h </w:instrText>
          </w:r>
          <w:r>
            <w:rPr>
              <w:sz w:val="24"/>
              <w:szCs w:val="24"/>
            </w:rPr>
            <w:fldChar w:fldCharType="separate"/>
          </w:r>
          <w:r>
            <w:rPr>
              <w:sz w:val="24"/>
              <w:szCs w:val="24"/>
            </w:rPr>
            <w:t>27</w:t>
          </w:r>
          <w:r>
            <w:rPr>
              <w:sz w:val="24"/>
              <w:szCs w:val="24"/>
            </w:rPr>
            <w:fldChar w:fldCharType="end"/>
          </w:r>
          <w:r>
            <w:rPr>
              <w:sz w:val="24"/>
              <w:szCs w:val="24"/>
            </w:rPr>
            <w:fldChar w:fldCharType="end"/>
          </w:r>
        </w:p>
        <w:p w14:paraId="4E02BDA1">
          <w:pPr>
            <w:pStyle w:val="16"/>
            <w:tabs>
              <w:tab w:val="right" w:leader="dot" w:pos="9242"/>
            </w:tabs>
            <w:spacing w:line="360" w:lineRule="auto"/>
            <w:rPr>
              <w:sz w:val="24"/>
              <w:szCs w:val="24"/>
            </w:rPr>
          </w:pPr>
          <w:r>
            <w:rPr>
              <w:sz w:val="24"/>
              <w:szCs w:val="24"/>
            </w:rPr>
            <w:fldChar w:fldCharType="begin"/>
          </w:r>
          <w:r>
            <w:rPr>
              <w:sz w:val="24"/>
              <w:szCs w:val="24"/>
            </w:rPr>
            <w:instrText xml:space="preserve"> HYPERLINK \l _Toc24334 </w:instrText>
          </w:r>
          <w:r>
            <w:rPr>
              <w:sz w:val="24"/>
              <w:szCs w:val="24"/>
            </w:rPr>
            <w:fldChar w:fldCharType="separate"/>
          </w:r>
          <w:r>
            <w:rPr>
              <w:rFonts w:hint="eastAsia"/>
              <w:sz w:val="24"/>
              <w:szCs w:val="24"/>
            </w:rPr>
            <w:t xml:space="preserve">第三章 </w:t>
          </w:r>
          <w:r>
            <w:rPr>
              <w:sz w:val="24"/>
              <w:szCs w:val="24"/>
            </w:rPr>
            <w:t>养殖水域滩涂功能区划定</w:t>
          </w:r>
          <w:r>
            <w:rPr>
              <w:sz w:val="24"/>
              <w:szCs w:val="24"/>
            </w:rPr>
            <w:tab/>
          </w:r>
          <w:r>
            <w:rPr>
              <w:sz w:val="24"/>
              <w:szCs w:val="24"/>
            </w:rPr>
            <w:fldChar w:fldCharType="begin"/>
          </w:r>
          <w:r>
            <w:rPr>
              <w:sz w:val="24"/>
              <w:szCs w:val="24"/>
            </w:rPr>
            <w:instrText xml:space="preserve"> PAGEREF _Toc24334 \h </w:instrText>
          </w:r>
          <w:r>
            <w:rPr>
              <w:sz w:val="24"/>
              <w:szCs w:val="24"/>
            </w:rPr>
            <w:fldChar w:fldCharType="separate"/>
          </w:r>
          <w:r>
            <w:rPr>
              <w:sz w:val="24"/>
              <w:szCs w:val="24"/>
            </w:rPr>
            <w:t>28</w:t>
          </w:r>
          <w:r>
            <w:rPr>
              <w:sz w:val="24"/>
              <w:szCs w:val="24"/>
            </w:rPr>
            <w:fldChar w:fldCharType="end"/>
          </w:r>
          <w:r>
            <w:rPr>
              <w:sz w:val="24"/>
              <w:szCs w:val="24"/>
            </w:rPr>
            <w:fldChar w:fldCharType="end"/>
          </w:r>
        </w:p>
        <w:p w14:paraId="75D4319E">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_Toc24680 </w:instrText>
          </w:r>
          <w:r>
            <w:rPr>
              <w:sz w:val="24"/>
              <w:szCs w:val="24"/>
            </w:rPr>
            <w:fldChar w:fldCharType="separate"/>
          </w:r>
          <w:r>
            <w:rPr>
              <w:rFonts w:hint="default"/>
              <w:sz w:val="24"/>
              <w:szCs w:val="24"/>
            </w:rPr>
            <w:t xml:space="preserve">3.1 </w:t>
          </w:r>
          <w:r>
            <w:rPr>
              <w:sz w:val="24"/>
              <w:szCs w:val="24"/>
            </w:rPr>
            <w:t>功能区划定标准</w:t>
          </w:r>
          <w:r>
            <w:rPr>
              <w:sz w:val="24"/>
              <w:szCs w:val="24"/>
            </w:rPr>
            <w:tab/>
          </w:r>
          <w:r>
            <w:rPr>
              <w:sz w:val="24"/>
              <w:szCs w:val="24"/>
            </w:rPr>
            <w:fldChar w:fldCharType="begin"/>
          </w:r>
          <w:r>
            <w:rPr>
              <w:sz w:val="24"/>
              <w:szCs w:val="24"/>
            </w:rPr>
            <w:instrText xml:space="preserve"> PAGEREF _Toc24680 \h </w:instrText>
          </w:r>
          <w:r>
            <w:rPr>
              <w:sz w:val="24"/>
              <w:szCs w:val="24"/>
            </w:rPr>
            <w:fldChar w:fldCharType="separate"/>
          </w:r>
          <w:r>
            <w:rPr>
              <w:sz w:val="24"/>
              <w:szCs w:val="24"/>
            </w:rPr>
            <w:t>28</w:t>
          </w:r>
          <w:r>
            <w:rPr>
              <w:sz w:val="24"/>
              <w:szCs w:val="24"/>
            </w:rPr>
            <w:fldChar w:fldCharType="end"/>
          </w:r>
          <w:r>
            <w:rPr>
              <w:sz w:val="24"/>
              <w:szCs w:val="24"/>
            </w:rPr>
            <w:fldChar w:fldCharType="end"/>
          </w:r>
        </w:p>
        <w:p w14:paraId="39ED7A2B">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_Toc9608 </w:instrText>
          </w:r>
          <w:r>
            <w:rPr>
              <w:sz w:val="24"/>
              <w:szCs w:val="24"/>
            </w:rPr>
            <w:fldChar w:fldCharType="separate"/>
          </w:r>
          <w:r>
            <w:rPr>
              <w:rFonts w:hint="default" w:ascii="Times New Roman" w:hAnsi="Times New Roman" w:cs="Times New Roman"/>
              <w:sz w:val="24"/>
              <w:szCs w:val="24"/>
            </w:rPr>
            <w:t xml:space="preserve">3.1.1 </w:t>
          </w:r>
          <w:r>
            <w:rPr>
              <w:sz w:val="24"/>
              <w:szCs w:val="24"/>
            </w:rPr>
            <w:t>禁止养殖区划定标准</w:t>
          </w:r>
          <w:r>
            <w:rPr>
              <w:sz w:val="24"/>
              <w:szCs w:val="24"/>
            </w:rPr>
            <w:tab/>
          </w:r>
          <w:r>
            <w:rPr>
              <w:sz w:val="24"/>
              <w:szCs w:val="24"/>
            </w:rPr>
            <w:fldChar w:fldCharType="begin"/>
          </w:r>
          <w:r>
            <w:rPr>
              <w:sz w:val="24"/>
              <w:szCs w:val="24"/>
            </w:rPr>
            <w:instrText xml:space="preserve"> PAGEREF _Toc9608 \h </w:instrText>
          </w:r>
          <w:r>
            <w:rPr>
              <w:sz w:val="24"/>
              <w:szCs w:val="24"/>
            </w:rPr>
            <w:fldChar w:fldCharType="separate"/>
          </w:r>
          <w:r>
            <w:rPr>
              <w:sz w:val="24"/>
              <w:szCs w:val="24"/>
            </w:rPr>
            <w:t>28</w:t>
          </w:r>
          <w:r>
            <w:rPr>
              <w:sz w:val="24"/>
              <w:szCs w:val="24"/>
            </w:rPr>
            <w:fldChar w:fldCharType="end"/>
          </w:r>
          <w:r>
            <w:rPr>
              <w:sz w:val="24"/>
              <w:szCs w:val="24"/>
            </w:rPr>
            <w:fldChar w:fldCharType="end"/>
          </w:r>
        </w:p>
        <w:p w14:paraId="59821190">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_Toc8970 </w:instrText>
          </w:r>
          <w:r>
            <w:rPr>
              <w:sz w:val="24"/>
              <w:szCs w:val="24"/>
            </w:rPr>
            <w:fldChar w:fldCharType="separate"/>
          </w:r>
          <w:r>
            <w:rPr>
              <w:rFonts w:hint="default" w:ascii="Times New Roman" w:hAnsi="Times New Roman" w:cs="Times New Roman"/>
              <w:sz w:val="24"/>
              <w:szCs w:val="24"/>
            </w:rPr>
            <w:t xml:space="preserve">3.1.2 </w:t>
          </w:r>
          <w:r>
            <w:rPr>
              <w:sz w:val="24"/>
              <w:szCs w:val="24"/>
            </w:rPr>
            <w:t>限制养殖区划定标准</w:t>
          </w:r>
          <w:r>
            <w:rPr>
              <w:sz w:val="24"/>
              <w:szCs w:val="24"/>
            </w:rPr>
            <w:tab/>
          </w:r>
          <w:r>
            <w:rPr>
              <w:sz w:val="24"/>
              <w:szCs w:val="24"/>
            </w:rPr>
            <w:fldChar w:fldCharType="begin"/>
          </w:r>
          <w:r>
            <w:rPr>
              <w:sz w:val="24"/>
              <w:szCs w:val="24"/>
            </w:rPr>
            <w:instrText xml:space="preserve"> PAGEREF _Toc8970 \h </w:instrText>
          </w:r>
          <w:r>
            <w:rPr>
              <w:sz w:val="24"/>
              <w:szCs w:val="24"/>
            </w:rPr>
            <w:fldChar w:fldCharType="separate"/>
          </w:r>
          <w:r>
            <w:rPr>
              <w:sz w:val="24"/>
              <w:szCs w:val="24"/>
            </w:rPr>
            <w:t>29</w:t>
          </w:r>
          <w:r>
            <w:rPr>
              <w:sz w:val="24"/>
              <w:szCs w:val="24"/>
            </w:rPr>
            <w:fldChar w:fldCharType="end"/>
          </w:r>
          <w:r>
            <w:rPr>
              <w:sz w:val="24"/>
              <w:szCs w:val="24"/>
            </w:rPr>
            <w:fldChar w:fldCharType="end"/>
          </w:r>
        </w:p>
        <w:p w14:paraId="4710E0CF">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_Toc2703 </w:instrText>
          </w:r>
          <w:r>
            <w:rPr>
              <w:sz w:val="24"/>
              <w:szCs w:val="24"/>
            </w:rPr>
            <w:fldChar w:fldCharType="separate"/>
          </w:r>
          <w:r>
            <w:rPr>
              <w:rFonts w:hint="default" w:ascii="Times New Roman" w:hAnsi="Times New Roman" w:eastAsia="黑体" w:cs="Times New Roman"/>
              <w:sz w:val="24"/>
              <w:szCs w:val="24"/>
            </w:rPr>
            <w:t xml:space="preserve">3.1.3 </w:t>
          </w:r>
          <w:r>
            <w:rPr>
              <w:sz w:val="24"/>
              <w:szCs w:val="24"/>
            </w:rPr>
            <w:t>养殖区划定标准</w:t>
          </w:r>
          <w:r>
            <w:rPr>
              <w:sz w:val="24"/>
              <w:szCs w:val="24"/>
            </w:rPr>
            <w:tab/>
          </w:r>
          <w:r>
            <w:rPr>
              <w:sz w:val="24"/>
              <w:szCs w:val="24"/>
            </w:rPr>
            <w:fldChar w:fldCharType="begin"/>
          </w:r>
          <w:r>
            <w:rPr>
              <w:sz w:val="24"/>
              <w:szCs w:val="24"/>
            </w:rPr>
            <w:instrText xml:space="preserve"> PAGEREF _Toc2703 \h </w:instrText>
          </w:r>
          <w:r>
            <w:rPr>
              <w:sz w:val="24"/>
              <w:szCs w:val="24"/>
            </w:rPr>
            <w:fldChar w:fldCharType="separate"/>
          </w:r>
          <w:r>
            <w:rPr>
              <w:sz w:val="24"/>
              <w:szCs w:val="24"/>
            </w:rPr>
            <w:t>30</w:t>
          </w:r>
          <w:r>
            <w:rPr>
              <w:sz w:val="24"/>
              <w:szCs w:val="24"/>
            </w:rPr>
            <w:fldChar w:fldCharType="end"/>
          </w:r>
          <w:r>
            <w:rPr>
              <w:sz w:val="24"/>
              <w:szCs w:val="24"/>
            </w:rPr>
            <w:fldChar w:fldCharType="end"/>
          </w:r>
        </w:p>
        <w:p w14:paraId="19C81BE4">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_Toc8145 </w:instrText>
          </w:r>
          <w:r>
            <w:rPr>
              <w:sz w:val="24"/>
              <w:szCs w:val="24"/>
            </w:rPr>
            <w:fldChar w:fldCharType="separate"/>
          </w:r>
          <w:r>
            <w:rPr>
              <w:rFonts w:hint="eastAsia"/>
              <w:sz w:val="24"/>
              <w:szCs w:val="24"/>
              <w:highlight w:val="none"/>
              <w:lang w:val="en-US" w:eastAsia="zh-CN"/>
            </w:rPr>
            <w:t xml:space="preserve">3.2 </w:t>
          </w:r>
          <w:r>
            <w:rPr>
              <w:sz w:val="24"/>
              <w:szCs w:val="24"/>
              <w:highlight w:val="none"/>
            </w:rPr>
            <w:t>规划方案</w:t>
          </w:r>
          <w:r>
            <w:rPr>
              <w:sz w:val="24"/>
              <w:szCs w:val="24"/>
            </w:rPr>
            <w:tab/>
          </w:r>
          <w:r>
            <w:rPr>
              <w:sz w:val="24"/>
              <w:szCs w:val="24"/>
            </w:rPr>
            <w:fldChar w:fldCharType="begin"/>
          </w:r>
          <w:r>
            <w:rPr>
              <w:sz w:val="24"/>
              <w:szCs w:val="24"/>
            </w:rPr>
            <w:instrText xml:space="preserve"> PAGEREF _Toc8145 \h </w:instrText>
          </w:r>
          <w:r>
            <w:rPr>
              <w:sz w:val="24"/>
              <w:szCs w:val="24"/>
            </w:rPr>
            <w:fldChar w:fldCharType="separate"/>
          </w:r>
          <w:r>
            <w:rPr>
              <w:sz w:val="24"/>
              <w:szCs w:val="24"/>
            </w:rPr>
            <w:t>32</w:t>
          </w:r>
          <w:r>
            <w:rPr>
              <w:sz w:val="24"/>
              <w:szCs w:val="24"/>
            </w:rPr>
            <w:fldChar w:fldCharType="end"/>
          </w:r>
          <w:r>
            <w:rPr>
              <w:sz w:val="24"/>
              <w:szCs w:val="24"/>
            </w:rPr>
            <w:fldChar w:fldCharType="end"/>
          </w:r>
        </w:p>
        <w:p w14:paraId="43057D9C">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_Toc28445 </w:instrText>
          </w:r>
          <w:r>
            <w:rPr>
              <w:sz w:val="24"/>
              <w:szCs w:val="24"/>
            </w:rPr>
            <w:fldChar w:fldCharType="separate"/>
          </w:r>
          <w:r>
            <w:rPr>
              <w:rFonts w:hint="eastAsia"/>
              <w:sz w:val="24"/>
              <w:szCs w:val="24"/>
              <w:lang w:val="en-US" w:eastAsia="zh-CN"/>
            </w:rPr>
            <w:t xml:space="preserve">3.3 </w:t>
          </w:r>
          <w:r>
            <w:rPr>
              <w:sz w:val="24"/>
              <w:szCs w:val="24"/>
            </w:rPr>
            <w:t>禁止养殖区划定</w:t>
          </w:r>
          <w:r>
            <w:rPr>
              <w:sz w:val="24"/>
              <w:szCs w:val="24"/>
            </w:rPr>
            <w:tab/>
          </w:r>
          <w:r>
            <w:rPr>
              <w:sz w:val="24"/>
              <w:szCs w:val="24"/>
            </w:rPr>
            <w:fldChar w:fldCharType="begin"/>
          </w:r>
          <w:r>
            <w:rPr>
              <w:sz w:val="24"/>
              <w:szCs w:val="24"/>
            </w:rPr>
            <w:instrText xml:space="preserve"> PAGEREF _Toc28445 \h </w:instrText>
          </w:r>
          <w:r>
            <w:rPr>
              <w:sz w:val="24"/>
              <w:szCs w:val="24"/>
            </w:rPr>
            <w:fldChar w:fldCharType="separate"/>
          </w:r>
          <w:r>
            <w:rPr>
              <w:sz w:val="24"/>
              <w:szCs w:val="24"/>
            </w:rPr>
            <w:t>34</w:t>
          </w:r>
          <w:r>
            <w:rPr>
              <w:sz w:val="24"/>
              <w:szCs w:val="24"/>
            </w:rPr>
            <w:fldChar w:fldCharType="end"/>
          </w:r>
          <w:r>
            <w:rPr>
              <w:sz w:val="24"/>
              <w:szCs w:val="24"/>
            </w:rPr>
            <w:fldChar w:fldCharType="end"/>
          </w:r>
        </w:p>
        <w:p w14:paraId="0482AD4E">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_Toc26142 </w:instrText>
          </w:r>
          <w:r>
            <w:rPr>
              <w:sz w:val="24"/>
              <w:szCs w:val="24"/>
            </w:rPr>
            <w:fldChar w:fldCharType="separate"/>
          </w:r>
          <w:r>
            <w:rPr>
              <w:rFonts w:hint="eastAsia"/>
              <w:sz w:val="24"/>
              <w:szCs w:val="24"/>
              <w:lang w:val="en-US" w:eastAsia="zh-CN"/>
            </w:rPr>
            <w:t xml:space="preserve">3.3.1 </w:t>
          </w:r>
          <w:r>
            <w:rPr>
              <w:sz w:val="24"/>
              <w:szCs w:val="24"/>
            </w:rPr>
            <w:t>生态保护红线核心区域禁养区</w:t>
          </w:r>
          <w:r>
            <w:rPr>
              <w:sz w:val="24"/>
              <w:szCs w:val="24"/>
            </w:rPr>
            <w:tab/>
          </w:r>
          <w:r>
            <w:rPr>
              <w:sz w:val="24"/>
              <w:szCs w:val="24"/>
            </w:rPr>
            <w:fldChar w:fldCharType="begin"/>
          </w:r>
          <w:r>
            <w:rPr>
              <w:sz w:val="24"/>
              <w:szCs w:val="24"/>
            </w:rPr>
            <w:instrText xml:space="preserve"> PAGEREF _Toc26142 \h </w:instrText>
          </w:r>
          <w:r>
            <w:rPr>
              <w:sz w:val="24"/>
              <w:szCs w:val="24"/>
            </w:rPr>
            <w:fldChar w:fldCharType="separate"/>
          </w:r>
          <w:r>
            <w:rPr>
              <w:sz w:val="24"/>
              <w:szCs w:val="24"/>
            </w:rPr>
            <w:t>36</w:t>
          </w:r>
          <w:r>
            <w:rPr>
              <w:sz w:val="24"/>
              <w:szCs w:val="24"/>
            </w:rPr>
            <w:fldChar w:fldCharType="end"/>
          </w:r>
          <w:r>
            <w:rPr>
              <w:sz w:val="24"/>
              <w:szCs w:val="24"/>
            </w:rPr>
            <w:fldChar w:fldCharType="end"/>
          </w:r>
        </w:p>
        <w:p w14:paraId="6AB55C02">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_Toc6676 </w:instrText>
          </w:r>
          <w:r>
            <w:rPr>
              <w:sz w:val="24"/>
              <w:szCs w:val="24"/>
            </w:rPr>
            <w:fldChar w:fldCharType="separate"/>
          </w:r>
          <w:r>
            <w:rPr>
              <w:rFonts w:hint="eastAsia"/>
              <w:sz w:val="24"/>
              <w:szCs w:val="24"/>
              <w:lang w:val="en-US" w:eastAsia="zh-CN"/>
            </w:rPr>
            <w:t xml:space="preserve">3.3.2 </w:t>
          </w:r>
          <w:r>
            <w:rPr>
              <w:sz w:val="24"/>
              <w:szCs w:val="24"/>
            </w:rPr>
            <w:t>饮用水水源地一级保护区禁养区</w:t>
          </w:r>
          <w:r>
            <w:rPr>
              <w:sz w:val="24"/>
              <w:szCs w:val="24"/>
            </w:rPr>
            <w:tab/>
          </w:r>
          <w:r>
            <w:rPr>
              <w:sz w:val="24"/>
              <w:szCs w:val="24"/>
            </w:rPr>
            <w:fldChar w:fldCharType="begin"/>
          </w:r>
          <w:r>
            <w:rPr>
              <w:sz w:val="24"/>
              <w:szCs w:val="24"/>
            </w:rPr>
            <w:instrText xml:space="preserve"> PAGEREF _Toc6676 \h </w:instrText>
          </w:r>
          <w:r>
            <w:rPr>
              <w:sz w:val="24"/>
              <w:szCs w:val="24"/>
            </w:rPr>
            <w:fldChar w:fldCharType="separate"/>
          </w:r>
          <w:r>
            <w:rPr>
              <w:sz w:val="24"/>
              <w:szCs w:val="24"/>
            </w:rPr>
            <w:t>38</w:t>
          </w:r>
          <w:r>
            <w:rPr>
              <w:sz w:val="24"/>
              <w:szCs w:val="24"/>
            </w:rPr>
            <w:fldChar w:fldCharType="end"/>
          </w:r>
          <w:r>
            <w:rPr>
              <w:sz w:val="24"/>
              <w:szCs w:val="24"/>
            </w:rPr>
            <w:fldChar w:fldCharType="end"/>
          </w:r>
        </w:p>
        <w:p w14:paraId="1CE3409B">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_Toc32374 </w:instrText>
          </w:r>
          <w:r>
            <w:rPr>
              <w:sz w:val="24"/>
              <w:szCs w:val="24"/>
            </w:rPr>
            <w:fldChar w:fldCharType="separate"/>
          </w:r>
          <w:r>
            <w:rPr>
              <w:rFonts w:hint="eastAsia"/>
              <w:sz w:val="24"/>
              <w:szCs w:val="24"/>
              <w:lang w:val="en-US" w:eastAsia="zh-CN"/>
            </w:rPr>
            <w:t xml:space="preserve">3.3.3 </w:t>
          </w:r>
          <w:r>
            <w:rPr>
              <w:sz w:val="24"/>
              <w:szCs w:val="24"/>
            </w:rPr>
            <w:t>城镇开发边界禁养区</w:t>
          </w:r>
          <w:r>
            <w:rPr>
              <w:sz w:val="24"/>
              <w:szCs w:val="24"/>
            </w:rPr>
            <w:tab/>
          </w:r>
          <w:r>
            <w:rPr>
              <w:sz w:val="24"/>
              <w:szCs w:val="24"/>
            </w:rPr>
            <w:fldChar w:fldCharType="begin"/>
          </w:r>
          <w:r>
            <w:rPr>
              <w:sz w:val="24"/>
              <w:szCs w:val="24"/>
            </w:rPr>
            <w:instrText xml:space="preserve"> PAGEREF _Toc32374 \h </w:instrText>
          </w:r>
          <w:r>
            <w:rPr>
              <w:sz w:val="24"/>
              <w:szCs w:val="24"/>
            </w:rPr>
            <w:fldChar w:fldCharType="separate"/>
          </w:r>
          <w:r>
            <w:rPr>
              <w:sz w:val="24"/>
              <w:szCs w:val="24"/>
            </w:rPr>
            <w:t>40</w:t>
          </w:r>
          <w:r>
            <w:rPr>
              <w:sz w:val="24"/>
              <w:szCs w:val="24"/>
            </w:rPr>
            <w:fldChar w:fldCharType="end"/>
          </w:r>
          <w:r>
            <w:rPr>
              <w:sz w:val="24"/>
              <w:szCs w:val="24"/>
            </w:rPr>
            <w:fldChar w:fldCharType="end"/>
          </w:r>
        </w:p>
        <w:p w14:paraId="3589476E">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_Toc12017 </w:instrText>
          </w:r>
          <w:r>
            <w:rPr>
              <w:sz w:val="24"/>
              <w:szCs w:val="24"/>
            </w:rPr>
            <w:fldChar w:fldCharType="separate"/>
          </w:r>
          <w:r>
            <w:rPr>
              <w:rFonts w:hint="eastAsia"/>
              <w:sz w:val="24"/>
              <w:szCs w:val="24"/>
              <w:lang w:val="en-US" w:eastAsia="zh-CN"/>
            </w:rPr>
            <w:t xml:space="preserve">3.3.4 </w:t>
          </w:r>
          <w:r>
            <w:rPr>
              <w:sz w:val="24"/>
              <w:szCs w:val="24"/>
            </w:rPr>
            <w:t>耕地及永久基本农田保护红线禁养区</w:t>
          </w:r>
          <w:r>
            <w:rPr>
              <w:sz w:val="24"/>
              <w:szCs w:val="24"/>
            </w:rPr>
            <w:tab/>
          </w:r>
          <w:r>
            <w:rPr>
              <w:sz w:val="24"/>
              <w:szCs w:val="24"/>
            </w:rPr>
            <w:fldChar w:fldCharType="begin"/>
          </w:r>
          <w:r>
            <w:rPr>
              <w:sz w:val="24"/>
              <w:szCs w:val="24"/>
            </w:rPr>
            <w:instrText xml:space="preserve"> PAGEREF _Toc12017 \h </w:instrText>
          </w:r>
          <w:r>
            <w:rPr>
              <w:sz w:val="24"/>
              <w:szCs w:val="24"/>
            </w:rPr>
            <w:fldChar w:fldCharType="separate"/>
          </w:r>
          <w:r>
            <w:rPr>
              <w:sz w:val="24"/>
              <w:szCs w:val="24"/>
            </w:rPr>
            <w:t>41</w:t>
          </w:r>
          <w:r>
            <w:rPr>
              <w:sz w:val="24"/>
              <w:szCs w:val="24"/>
            </w:rPr>
            <w:fldChar w:fldCharType="end"/>
          </w:r>
          <w:r>
            <w:rPr>
              <w:sz w:val="24"/>
              <w:szCs w:val="24"/>
            </w:rPr>
            <w:fldChar w:fldCharType="end"/>
          </w:r>
        </w:p>
        <w:p w14:paraId="7F3E7DF3">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_Toc10572 </w:instrText>
          </w:r>
          <w:r>
            <w:rPr>
              <w:sz w:val="24"/>
              <w:szCs w:val="24"/>
            </w:rPr>
            <w:fldChar w:fldCharType="separate"/>
          </w:r>
          <w:r>
            <w:rPr>
              <w:rFonts w:hint="eastAsia"/>
              <w:sz w:val="24"/>
              <w:szCs w:val="24"/>
              <w:lang w:val="en-US" w:eastAsia="zh-CN"/>
            </w:rPr>
            <w:t xml:space="preserve">3.3.5 </w:t>
          </w:r>
          <w:r>
            <w:rPr>
              <w:rFonts w:hint="eastAsia"/>
              <w:sz w:val="24"/>
              <w:szCs w:val="24"/>
            </w:rPr>
            <w:t>其他生态极敏感区及极脆弱区禁养区</w:t>
          </w:r>
          <w:r>
            <w:rPr>
              <w:sz w:val="24"/>
              <w:szCs w:val="24"/>
            </w:rPr>
            <w:tab/>
          </w:r>
          <w:r>
            <w:rPr>
              <w:sz w:val="24"/>
              <w:szCs w:val="24"/>
            </w:rPr>
            <w:fldChar w:fldCharType="begin"/>
          </w:r>
          <w:r>
            <w:rPr>
              <w:sz w:val="24"/>
              <w:szCs w:val="24"/>
            </w:rPr>
            <w:instrText xml:space="preserve"> PAGEREF _Toc10572 \h </w:instrText>
          </w:r>
          <w:r>
            <w:rPr>
              <w:sz w:val="24"/>
              <w:szCs w:val="24"/>
            </w:rPr>
            <w:fldChar w:fldCharType="separate"/>
          </w:r>
          <w:r>
            <w:rPr>
              <w:sz w:val="24"/>
              <w:szCs w:val="24"/>
            </w:rPr>
            <w:t>41</w:t>
          </w:r>
          <w:r>
            <w:rPr>
              <w:sz w:val="24"/>
              <w:szCs w:val="24"/>
            </w:rPr>
            <w:fldChar w:fldCharType="end"/>
          </w:r>
          <w:r>
            <w:rPr>
              <w:sz w:val="24"/>
              <w:szCs w:val="24"/>
            </w:rPr>
            <w:fldChar w:fldCharType="end"/>
          </w:r>
        </w:p>
        <w:p w14:paraId="7AFD253E">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_Toc26822 </w:instrText>
          </w:r>
          <w:r>
            <w:rPr>
              <w:sz w:val="24"/>
              <w:szCs w:val="24"/>
            </w:rPr>
            <w:fldChar w:fldCharType="separate"/>
          </w:r>
          <w:r>
            <w:rPr>
              <w:rFonts w:hint="eastAsia" w:ascii="Times New Roman" w:hAnsi="Times New Roman" w:eastAsia="黑体" w:cs="Times New Roman"/>
              <w:kern w:val="2"/>
              <w:sz w:val="24"/>
              <w:szCs w:val="24"/>
              <w:lang w:val="en-US" w:eastAsia="zh-CN" w:bidi="ar-SA"/>
            </w:rPr>
            <w:t>3.</w:t>
          </w:r>
          <w:r>
            <w:rPr>
              <w:rFonts w:hint="eastAsia" w:eastAsia="黑体" w:cs="Times New Roman"/>
              <w:kern w:val="2"/>
              <w:sz w:val="24"/>
              <w:szCs w:val="24"/>
              <w:lang w:val="en-US" w:eastAsia="zh-CN" w:bidi="ar-SA"/>
            </w:rPr>
            <w:t>3.6</w:t>
          </w:r>
          <w:r>
            <w:rPr>
              <w:rFonts w:hint="eastAsia" w:ascii="Times New Roman" w:hAnsi="Times New Roman" w:eastAsia="黑体" w:cs="Times New Roman"/>
              <w:kern w:val="2"/>
              <w:sz w:val="24"/>
              <w:szCs w:val="24"/>
              <w:lang w:val="en-US" w:eastAsia="zh-CN" w:bidi="ar-SA"/>
            </w:rPr>
            <w:t xml:space="preserve"> </w:t>
          </w:r>
          <w:r>
            <w:rPr>
              <w:rFonts w:hint="eastAsia"/>
              <w:sz w:val="24"/>
              <w:szCs w:val="24"/>
              <w:lang w:val="en-US" w:eastAsia="zh-CN"/>
            </w:rPr>
            <w:t>禁养区管控措施</w:t>
          </w:r>
          <w:r>
            <w:rPr>
              <w:sz w:val="24"/>
              <w:szCs w:val="24"/>
            </w:rPr>
            <w:tab/>
          </w:r>
          <w:r>
            <w:rPr>
              <w:sz w:val="24"/>
              <w:szCs w:val="24"/>
            </w:rPr>
            <w:fldChar w:fldCharType="begin"/>
          </w:r>
          <w:r>
            <w:rPr>
              <w:sz w:val="24"/>
              <w:szCs w:val="24"/>
            </w:rPr>
            <w:instrText xml:space="preserve"> PAGEREF _Toc26822 \h </w:instrText>
          </w:r>
          <w:r>
            <w:rPr>
              <w:sz w:val="24"/>
              <w:szCs w:val="24"/>
            </w:rPr>
            <w:fldChar w:fldCharType="separate"/>
          </w:r>
          <w:r>
            <w:rPr>
              <w:sz w:val="24"/>
              <w:szCs w:val="24"/>
            </w:rPr>
            <w:t>42</w:t>
          </w:r>
          <w:r>
            <w:rPr>
              <w:sz w:val="24"/>
              <w:szCs w:val="24"/>
            </w:rPr>
            <w:fldChar w:fldCharType="end"/>
          </w:r>
          <w:r>
            <w:rPr>
              <w:sz w:val="24"/>
              <w:szCs w:val="24"/>
            </w:rPr>
            <w:fldChar w:fldCharType="end"/>
          </w:r>
        </w:p>
        <w:p w14:paraId="40CA9CC0">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_Toc26851 </w:instrText>
          </w:r>
          <w:r>
            <w:rPr>
              <w:sz w:val="24"/>
              <w:szCs w:val="24"/>
            </w:rPr>
            <w:fldChar w:fldCharType="separate"/>
          </w:r>
          <w:r>
            <w:rPr>
              <w:rFonts w:hint="eastAsia"/>
              <w:sz w:val="24"/>
              <w:szCs w:val="24"/>
              <w:lang w:val="en-US" w:eastAsia="zh-CN"/>
            </w:rPr>
            <w:t xml:space="preserve">3.4 </w:t>
          </w:r>
          <w:r>
            <w:rPr>
              <w:sz w:val="24"/>
              <w:szCs w:val="24"/>
            </w:rPr>
            <w:t>限制养殖区划定</w:t>
          </w:r>
          <w:r>
            <w:rPr>
              <w:sz w:val="24"/>
              <w:szCs w:val="24"/>
            </w:rPr>
            <w:tab/>
          </w:r>
          <w:r>
            <w:rPr>
              <w:sz w:val="24"/>
              <w:szCs w:val="24"/>
            </w:rPr>
            <w:fldChar w:fldCharType="begin"/>
          </w:r>
          <w:r>
            <w:rPr>
              <w:sz w:val="24"/>
              <w:szCs w:val="24"/>
            </w:rPr>
            <w:instrText xml:space="preserve"> PAGEREF _Toc26851 \h </w:instrText>
          </w:r>
          <w:r>
            <w:rPr>
              <w:sz w:val="24"/>
              <w:szCs w:val="24"/>
            </w:rPr>
            <w:fldChar w:fldCharType="separate"/>
          </w:r>
          <w:r>
            <w:rPr>
              <w:sz w:val="24"/>
              <w:szCs w:val="24"/>
            </w:rPr>
            <w:t>43</w:t>
          </w:r>
          <w:r>
            <w:rPr>
              <w:sz w:val="24"/>
              <w:szCs w:val="24"/>
            </w:rPr>
            <w:fldChar w:fldCharType="end"/>
          </w:r>
          <w:r>
            <w:rPr>
              <w:sz w:val="24"/>
              <w:szCs w:val="24"/>
            </w:rPr>
            <w:fldChar w:fldCharType="end"/>
          </w:r>
        </w:p>
        <w:p w14:paraId="251B9F06">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_Toc3679 </w:instrText>
          </w:r>
          <w:r>
            <w:rPr>
              <w:sz w:val="24"/>
              <w:szCs w:val="24"/>
            </w:rPr>
            <w:fldChar w:fldCharType="separate"/>
          </w:r>
          <w:r>
            <w:rPr>
              <w:rFonts w:hint="eastAsia"/>
              <w:sz w:val="24"/>
              <w:szCs w:val="24"/>
              <w:lang w:val="en-US" w:eastAsia="zh-CN"/>
            </w:rPr>
            <w:t>3.4.1</w:t>
          </w:r>
          <w:r>
            <w:rPr>
              <w:sz w:val="24"/>
              <w:szCs w:val="24"/>
            </w:rPr>
            <w:t>生态保护红线（自然保护地核心保护区外）</w:t>
          </w:r>
          <w:r>
            <w:rPr>
              <w:rFonts w:hint="eastAsia"/>
              <w:sz w:val="24"/>
              <w:szCs w:val="24"/>
              <w:lang w:val="en-US" w:eastAsia="zh-CN"/>
            </w:rPr>
            <w:t>限养区</w:t>
          </w:r>
          <w:r>
            <w:rPr>
              <w:sz w:val="24"/>
              <w:szCs w:val="24"/>
            </w:rPr>
            <w:tab/>
          </w:r>
          <w:r>
            <w:rPr>
              <w:sz w:val="24"/>
              <w:szCs w:val="24"/>
            </w:rPr>
            <w:fldChar w:fldCharType="begin"/>
          </w:r>
          <w:r>
            <w:rPr>
              <w:sz w:val="24"/>
              <w:szCs w:val="24"/>
            </w:rPr>
            <w:instrText xml:space="preserve"> PAGEREF _Toc3679 \h </w:instrText>
          </w:r>
          <w:r>
            <w:rPr>
              <w:sz w:val="24"/>
              <w:szCs w:val="24"/>
            </w:rPr>
            <w:fldChar w:fldCharType="separate"/>
          </w:r>
          <w:r>
            <w:rPr>
              <w:sz w:val="24"/>
              <w:szCs w:val="24"/>
            </w:rPr>
            <w:t>44</w:t>
          </w:r>
          <w:r>
            <w:rPr>
              <w:sz w:val="24"/>
              <w:szCs w:val="24"/>
            </w:rPr>
            <w:fldChar w:fldCharType="end"/>
          </w:r>
          <w:r>
            <w:rPr>
              <w:sz w:val="24"/>
              <w:szCs w:val="24"/>
            </w:rPr>
            <w:fldChar w:fldCharType="end"/>
          </w:r>
        </w:p>
        <w:p w14:paraId="3CFEDC15">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_Toc18466 </w:instrText>
          </w:r>
          <w:r>
            <w:rPr>
              <w:sz w:val="24"/>
              <w:szCs w:val="24"/>
            </w:rPr>
            <w:fldChar w:fldCharType="separate"/>
          </w:r>
          <w:r>
            <w:rPr>
              <w:rFonts w:hint="eastAsia"/>
              <w:sz w:val="24"/>
              <w:szCs w:val="24"/>
              <w:lang w:val="en-US" w:eastAsia="zh-CN"/>
            </w:rPr>
            <w:t xml:space="preserve">3.4.2 </w:t>
          </w:r>
          <w:r>
            <w:rPr>
              <w:sz w:val="24"/>
              <w:szCs w:val="24"/>
            </w:rPr>
            <w:t>饮用水水源地二级保护区限养区</w:t>
          </w:r>
          <w:r>
            <w:rPr>
              <w:sz w:val="24"/>
              <w:szCs w:val="24"/>
            </w:rPr>
            <w:tab/>
          </w:r>
          <w:r>
            <w:rPr>
              <w:sz w:val="24"/>
              <w:szCs w:val="24"/>
            </w:rPr>
            <w:fldChar w:fldCharType="begin"/>
          </w:r>
          <w:r>
            <w:rPr>
              <w:sz w:val="24"/>
              <w:szCs w:val="24"/>
            </w:rPr>
            <w:instrText xml:space="preserve"> PAGEREF _Toc18466 \h </w:instrText>
          </w:r>
          <w:r>
            <w:rPr>
              <w:sz w:val="24"/>
              <w:szCs w:val="24"/>
            </w:rPr>
            <w:fldChar w:fldCharType="separate"/>
          </w:r>
          <w:r>
            <w:rPr>
              <w:sz w:val="24"/>
              <w:szCs w:val="24"/>
            </w:rPr>
            <w:t>47</w:t>
          </w:r>
          <w:r>
            <w:rPr>
              <w:sz w:val="24"/>
              <w:szCs w:val="24"/>
            </w:rPr>
            <w:fldChar w:fldCharType="end"/>
          </w:r>
          <w:r>
            <w:rPr>
              <w:sz w:val="24"/>
              <w:szCs w:val="24"/>
            </w:rPr>
            <w:fldChar w:fldCharType="end"/>
          </w:r>
        </w:p>
        <w:p w14:paraId="17833299">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_Toc2341 </w:instrText>
          </w:r>
          <w:r>
            <w:rPr>
              <w:sz w:val="24"/>
              <w:szCs w:val="24"/>
            </w:rPr>
            <w:fldChar w:fldCharType="separate"/>
          </w:r>
          <w:r>
            <w:rPr>
              <w:rFonts w:hint="eastAsia" w:ascii="Times New Roman" w:hAnsi="Times New Roman" w:eastAsia="黑体" w:cs="Times New Roman"/>
              <w:kern w:val="2"/>
              <w:sz w:val="24"/>
              <w:szCs w:val="24"/>
              <w:lang w:val="en-US" w:eastAsia="zh-CN" w:bidi="ar-SA"/>
            </w:rPr>
            <w:t>3.</w:t>
          </w:r>
          <w:r>
            <w:rPr>
              <w:rFonts w:hint="eastAsia" w:cs="Times New Roman"/>
              <w:kern w:val="2"/>
              <w:sz w:val="24"/>
              <w:szCs w:val="24"/>
              <w:lang w:val="en-US" w:eastAsia="zh-CN" w:bidi="ar-SA"/>
            </w:rPr>
            <w:t>4.3</w:t>
          </w:r>
          <w:r>
            <w:rPr>
              <w:rFonts w:hint="eastAsia" w:ascii="Times New Roman" w:hAnsi="Times New Roman" w:eastAsia="黑体" w:cs="Times New Roman"/>
              <w:kern w:val="2"/>
              <w:sz w:val="24"/>
              <w:szCs w:val="24"/>
              <w:lang w:val="en-US" w:eastAsia="zh-CN" w:bidi="ar-SA"/>
            </w:rPr>
            <w:t xml:space="preserve"> </w:t>
          </w:r>
          <w:r>
            <w:rPr>
              <w:rFonts w:hint="eastAsia"/>
              <w:sz w:val="24"/>
              <w:szCs w:val="24"/>
              <w:lang w:val="en-US" w:eastAsia="zh-CN"/>
            </w:rPr>
            <w:t>限养区管控措施</w:t>
          </w:r>
          <w:r>
            <w:rPr>
              <w:sz w:val="24"/>
              <w:szCs w:val="24"/>
            </w:rPr>
            <w:tab/>
          </w:r>
          <w:r>
            <w:rPr>
              <w:sz w:val="24"/>
              <w:szCs w:val="24"/>
            </w:rPr>
            <w:fldChar w:fldCharType="begin"/>
          </w:r>
          <w:r>
            <w:rPr>
              <w:sz w:val="24"/>
              <w:szCs w:val="24"/>
            </w:rPr>
            <w:instrText xml:space="preserve"> PAGEREF _Toc2341 \h </w:instrText>
          </w:r>
          <w:r>
            <w:rPr>
              <w:sz w:val="24"/>
              <w:szCs w:val="24"/>
            </w:rPr>
            <w:fldChar w:fldCharType="separate"/>
          </w:r>
          <w:r>
            <w:rPr>
              <w:sz w:val="24"/>
              <w:szCs w:val="24"/>
            </w:rPr>
            <w:t>48</w:t>
          </w:r>
          <w:r>
            <w:rPr>
              <w:sz w:val="24"/>
              <w:szCs w:val="24"/>
            </w:rPr>
            <w:fldChar w:fldCharType="end"/>
          </w:r>
          <w:r>
            <w:rPr>
              <w:sz w:val="24"/>
              <w:szCs w:val="24"/>
            </w:rPr>
            <w:fldChar w:fldCharType="end"/>
          </w:r>
        </w:p>
        <w:p w14:paraId="4828E68B">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_Toc29798 </w:instrText>
          </w:r>
          <w:r>
            <w:rPr>
              <w:sz w:val="24"/>
              <w:szCs w:val="24"/>
            </w:rPr>
            <w:fldChar w:fldCharType="separate"/>
          </w:r>
          <w:r>
            <w:rPr>
              <w:rFonts w:hint="eastAsia"/>
              <w:sz w:val="24"/>
              <w:szCs w:val="24"/>
              <w:lang w:val="en-US" w:eastAsia="zh-CN"/>
            </w:rPr>
            <w:t xml:space="preserve">3.5 </w:t>
          </w:r>
          <w:r>
            <w:rPr>
              <w:sz w:val="24"/>
              <w:szCs w:val="24"/>
            </w:rPr>
            <w:t>养殖区</w:t>
          </w:r>
          <w:r>
            <w:rPr>
              <w:rFonts w:hint="eastAsia"/>
              <w:sz w:val="24"/>
              <w:szCs w:val="24"/>
              <w:lang w:val="en-US" w:eastAsia="zh-CN"/>
            </w:rPr>
            <w:t>划定</w:t>
          </w:r>
          <w:r>
            <w:rPr>
              <w:sz w:val="24"/>
              <w:szCs w:val="24"/>
            </w:rPr>
            <w:tab/>
          </w:r>
          <w:r>
            <w:rPr>
              <w:sz w:val="24"/>
              <w:szCs w:val="24"/>
            </w:rPr>
            <w:fldChar w:fldCharType="begin"/>
          </w:r>
          <w:r>
            <w:rPr>
              <w:sz w:val="24"/>
              <w:szCs w:val="24"/>
            </w:rPr>
            <w:instrText xml:space="preserve"> PAGEREF _Toc29798 \h </w:instrText>
          </w:r>
          <w:r>
            <w:rPr>
              <w:sz w:val="24"/>
              <w:szCs w:val="24"/>
            </w:rPr>
            <w:fldChar w:fldCharType="separate"/>
          </w:r>
          <w:r>
            <w:rPr>
              <w:sz w:val="24"/>
              <w:szCs w:val="24"/>
            </w:rPr>
            <w:t>49</w:t>
          </w:r>
          <w:r>
            <w:rPr>
              <w:sz w:val="24"/>
              <w:szCs w:val="24"/>
            </w:rPr>
            <w:fldChar w:fldCharType="end"/>
          </w:r>
          <w:r>
            <w:rPr>
              <w:sz w:val="24"/>
              <w:szCs w:val="24"/>
            </w:rPr>
            <w:fldChar w:fldCharType="end"/>
          </w:r>
        </w:p>
        <w:p w14:paraId="04FA0BA9">
          <w:pPr>
            <w:pStyle w:val="12"/>
            <w:tabs>
              <w:tab w:val="right" w:leader="dot" w:pos="9242"/>
            </w:tabs>
            <w:spacing w:line="360" w:lineRule="auto"/>
            <w:rPr>
              <w:sz w:val="24"/>
              <w:szCs w:val="24"/>
            </w:rPr>
          </w:pPr>
          <w:r>
            <w:rPr>
              <w:sz w:val="24"/>
              <w:szCs w:val="24"/>
            </w:rPr>
            <w:fldChar w:fldCharType="begin"/>
          </w:r>
          <w:r>
            <w:rPr>
              <w:sz w:val="24"/>
              <w:szCs w:val="24"/>
            </w:rPr>
            <w:instrText xml:space="preserve"> HYPERLINK \l _Toc31795 </w:instrText>
          </w:r>
          <w:r>
            <w:rPr>
              <w:sz w:val="24"/>
              <w:szCs w:val="24"/>
            </w:rPr>
            <w:fldChar w:fldCharType="separate"/>
          </w:r>
          <w:r>
            <w:rPr>
              <w:rFonts w:hint="eastAsia" w:ascii="Times New Roman" w:hAnsi="Times New Roman" w:eastAsia="黑体" w:cs="Times New Roman"/>
              <w:kern w:val="2"/>
              <w:sz w:val="24"/>
              <w:szCs w:val="24"/>
              <w:lang w:val="en-US" w:eastAsia="zh-CN" w:bidi="ar-SA"/>
            </w:rPr>
            <w:t>3.</w:t>
          </w:r>
          <w:r>
            <w:rPr>
              <w:rFonts w:hint="eastAsia" w:eastAsia="黑体" w:cs="Times New Roman"/>
              <w:kern w:val="2"/>
              <w:sz w:val="24"/>
              <w:szCs w:val="24"/>
              <w:lang w:val="en-US" w:eastAsia="zh-CN" w:bidi="ar-SA"/>
            </w:rPr>
            <w:t>5</w:t>
          </w:r>
          <w:r>
            <w:rPr>
              <w:rFonts w:hint="eastAsia" w:ascii="Times New Roman" w:hAnsi="Times New Roman" w:eastAsia="黑体" w:cs="Times New Roman"/>
              <w:kern w:val="2"/>
              <w:sz w:val="24"/>
              <w:szCs w:val="24"/>
              <w:lang w:val="en-US" w:eastAsia="zh-CN" w:bidi="ar-SA"/>
            </w:rPr>
            <w:t>.</w:t>
          </w:r>
          <w:r>
            <w:rPr>
              <w:rFonts w:hint="eastAsia" w:cs="Times New Roman"/>
              <w:kern w:val="2"/>
              <w:sz w:val="24"/>
              <w:szCs w:val="24"/>
              <w:lang w:val="en-US" w:eastAsia="zh-CN" w:bidi="ar-SA"/>
            </w:rPr>
            <w:t>1</w:t>
          </w:r>
          <w:r>
            <w:rPr>
              <w:rFonts w:hint="eastAsia" w:ascii="Times New Roman" w:hAnsi="Times New Roman" w:eastAsia="黑体" w:cs="Times New Roman"/>
              <w:kern w:val="2"/>
              <w:sz w:val="24"/>
              <w:szCs w:val="24"/>
              <w:lang w:val="en-US" w:eastAsia="zh-CN" w:bidi="ar-SA"/>
            </w:rPr>
            <w:t xml:space="preserve"> </w:t>
          </w:r>
          <w:r>
            <w:rPr>
              <w:rFonts w:hint="eastAsia"/>
              <w:sz w:val="24"/>
              <w:szCs w:val="24"/>
              <w:lang w:val="en-US" w:eastAsia="zh-CN"/>
            </w:rPr>
            <w:t>池塘、水库及其他养殖区</w:t>
          </w:r>
          <w:r>
            <w:rPr>
              <w:sz w:val="24"/>
              <w:szCs w:val="24"/>
            </w:rPr>
            <w:tab/>
          </w:r>
          <w:r>
            <w:rPr>
              <w:sz w:val="24"/>
              <w:szCs w:val="24"/>
            </w:rPr>
            <w:fldChar w:fldCharType="begin"/>
          </w:r>
          <w:r>
            <w:rPr>
              <w:sz w:val="24"/>
              <w:szCs w:val="24"/>
            </w:rPr>
            <w:instrText xml:space="preserve"> PAGEREF _Toc31795 \h </w:instrText>
          </w:r>
          <w:r>
            <w:rPr>
              <w:sz w:val="24"/>
              <w:szCs w:val="24"/>
            </w:rPr>
            <w:fldChar w:fldCharType="separate"/>
          </w:r>
          <w:r>
            <w:rPr>
              <w:sz w:val="24"/>
              <w:szCs w:val="24"/>
            </w:rPr>
            <w:t>49</w:t>
          </w:r>
          <w:r>
            <w:rPr>
              <w:sz w:val="24"/>
              <w:szCs w:val="24"/>
            </w:rPr>
            <w:fldChar w:fldCharType="end"/>
          </w:r>
          <w:r>
            <w:rPr>
              <w:sz w:val="24"/>
              <w:szCs w:val="24"/>
            </w:rPr>
            <w:fldChar w:fldCharType="end"/>
          </w:r>
        </w:p>
        <w:p w14:paraId="54C8F163">
          <w:pPr>
            <w:pStyle w:val="18"/>
            <w:keepNext w:val="0"/>
            <w:keepLines w:val="0"/>
            <w:pageBreakBefore w:val="0"/>
            <w:widowControl w:val="0"/>
            <w:tabs>
              <w:tab w:val="right" w:leader="dot" w:pos="9242"/>
            </w:tabs>
            <w:kinsoku/>
            <w:wordWrap/>
            <w:overflowPunct/>
            <w:topLinePunct w:val="0"/>
            <w:autoSpaceDE/>
            <w:autoSpaceDN/>
            <w:bidi w:val="0"/>
            <w:adjustRightInd/>
            <w:snapToGrid/>
            <w:spacing w:line="360" w:lineRule="auto"/>
            <w:ind w:left="1120" w:leftChars="400" w:firstLine="0" w:firstLineChars="0"/>
            <w:textAlignment w:val="auto"/>
            <w:rPr>
              <w:sz w:val="24"/>
              <w:szCs w:val="24"/>
            </w:rPr>
          </w:pPr>
          <w:r>
            <w:rPr>
              <w:sz w:val="24"/>
              <w:szCs w:val="24"/>
            </w:rPr>
            <w:fldChar w:fldCharType="begin"/>
          </w:r>
          <w:r>
            <w:rPr>
              <w:sz w:val="24"/>
              <w:szCs w:val="24"/>
            </w:rPr>
            <w:instrText xml:space="preserve"> HYPERLINK \l _Toc19147 </w:instrText>
          </w:r>
          <w:r>
            <w:rPr>
              <w:sz w:val="24"/>
              <w:szCs w:val="24"/>
            </w:rPr>
            <w:fldChar w:fldCharType="separate"/>
          </w:r>
          <w:r>
            <w:rPr>
              <w:rFonts w:hint="eastAsia" w:ascii="Times New Roman" w:hAnsi="Times New Roman" w:eastAsia="宋体" w:cs="Times New Roman"/>
              <w:kern w:val="2"/>
              <w:sz w:val="24"/>
              <w:szCs w:val="24"/>
              <w:lang w:val="en-US" w:eastAsia="zh-CN" w:bidi="ar-SA"/>
            </w:rPr>
            <w:t>3.5.2 养殖区管控措施</w:t>
          </w:r>
          <w:r>
            <w:rPr>
              <w:sz w:val="24"/>
              <w:szCs w:val="24"/>
            </w:rPr>
            <w:tab/>
          </w:r>
          <w:r>
            <w:rPr>
              <w:sz w:val="24"/>
              <w:szCs w:val="24"/>
            </w:rPr>
            <w:fldChar w:fldCharType="begin"/>
          </w:r>
          <w:r>
            <w:rPr>
              <w:sz w:val="24"/>
              <w:szCs w:val="24"/>
            </w:rPr>
            <w:instrText xml:space="preserve"> PAGEREF _Toc19147 \h </w:instrText>
          </w:r>
          <w:r>
            <w:rPr>
              <w:sz w:val="24"/>
              <w:szCs w:val="24"/>
            </w:rPr>
            <w:fldChar w:fldCharType="separate"/>
          </w:r>
          <w:r>
            <w:rPr>
              <w:sz w:val="24"/>
              <w:szCs w:val="24"/>
            </w:rPr>
            <w:t>50</w:t>
          </w:r>
          <w:r>
            <w:rPr>
              <w:sz w:val="24"/>
              <w:szCs w:val="24"/>
            </w:rPr>
            <w:fldChar w:fldCharType="end"/>
          </w:r>
          <w:r>
            <w:rPr>
              <w:sz w:val="24"/>
              <w:szCs w:val="24"/>
            </w:rPr>
            <w:fldChar w:fldCharType="end"/>
          </w:r>
        </w:p>
        <w:p w14:paraId="51B5DA70">
          <w:pPr>
            <w:pStyle w:val="16"/>
            <w:tabs>
              <w:tab w:val="right" w:leader="dot" w:pos="9242"/>
            </w:tabs>
            <w:spacing w:line="360" w:lineRule="auto"/>
            <w:rPr>
              <w:sz w:val="24"/>
              <w:szCs w:val="24"/>
            </w:rPr>
          </w:pPr>
          <w:r>
            <w:rPr>
              <w:sz w:val="24"/>
              <w:szCs w:val="24"/>
            </w:rPr>
            <w:fldChar w:fldCharType="begin"/>
          </w:r>
          <w:r>
            <w:rPr>
              <w:sz w:val="24"/>
              <w:szCs w:val="24"/>
            </w:rPr>
            <w:instrText xml:space="preserve"> HYPERLINK \l _Toc9468 </w:instrText>
          </w:r>
          <w:r>
            <w:rPr>
              <w:sz w:val="24"/>
              <w:szCs w:val="24"/>
            </w:rPr>
            <w:fldChar w:fldCharType="separate"/>
          </w:r>
          <w:r>
            <w:rPr>
              <w:rFonts w:hint="eastAsia"/>
              <w:sz w:val="24"/>
              <w:szCs w:val="24"/>
            </w:rPr>
            <w:t xml:space="preserve">第四章 </w:t>
          </w:r>
          <w:r>
            <w:rPr>
              <w:rFonts w:hint="eastAsia"/>
              <w:sz w:val="24"/>
              <w:szCs w:val="24"/>
              <w:lang w:val="en-US" w:eastAsia="zh-CN"/>
            </w:rPr>
            <w:t>环境影响评估</w:t>
          </w:r>
          <w:r>
            <w:rPr>
              <w:sz w:val="24"/>
              <w:szCs w:val="24"/>
            </w:rPr>
            <w:tab/>
          </w:r>
          <w:r>
            <w:rPr>
              <w:sz w:val="24"/>
              <w:szCs w:val="24"/>
            </w:rPr>
            <w:fldChar w:fldCharType="begin"/>
          </w:r>
          <w:r>
            <w:rPr>
              <w:sz w:val="24"/>
              <w:szCs w:val="24"/>
            </w:rPr>
            <w:instrText xml:space="preserve"> PAGEREF _Toc9468 \h </w:instrText>
          </w:r>
          <w:r>
            <w:rPr>
              <w:sz w:val="24"/>
              <w:szCs w:val="24"/>
            </w:rPr>
            <w:fldChar w:fldCharType="separate"/>
          </w:r>
          <w:r>
            <w:rPr>
              <w:sz w:val="24"/>
              <w:szCs w:val="24"/>
            </w:rPr>
            <w:t>52</w:t>
          </w:r>
          <w:r>
            <w:rPr>
              <w:sz w:val="24"/>
              <w:szCs w:val="24"/>
            </w:rPr>
            <w:fldChar w:fldCharType="end"/>
          </w:r>
          <w:r>
            <w:rPr>
              <w:sz w:val="24"/>
              <w:szCs w:val="24"/>
            </w:rPr>
            <w:fldChar w:fldCharType="end"/>
          </w:r>
        </w:p>
        <w:p w14:paraId="233DBC30">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_Toc7343 </w:instrText>
          </w:r>
          <w:r>
            <w:rPr>
              <w:sz w:val="24"/>
              <w:szCs w:val="24"/>
            </w:rPr>
            <w:fldChar w:fldCharType="separate"/>
          </w:r>
          <w:r>
            <w:rPr>
              <w:rFonts w:hint="eastAsia"/>
              <w:sz w:val="24"/>
              <w:szCs w:val="24"/>
              <w:lang w:val="en-US" w:eastAsia="zh-CN"/>
            </w:rPr>
            <w:t>4.1评估标准</w:t>
          </w:r>
          <w:r>
            <w:rPr>
              <w:sz w:val="24"/>
              <w:szCs w:val="24"/>
            </w:rPr>
            <w:tab/>
          </w:r>
          <w:r>
            <w:rPr>
              <w:sz w:val="24"/>
              <w:szCs w:val="24"/>
            </w:rPr>
            <w:fldChar w:fldCharType="begin"/>
          </w:r>
          <w:r>
            <w:rPr>
              <w:sz w:val="24"/>
              <w:szCs w:val="24"/>
            </w:rPr>
            <w:instrText xml:space="preserve"> PAGEREF _Toc7343 \h </w:instrText>
          </w:r>
          <w:r>
            <w:rPr>
              <w:sz w:val="24"/>
              <w:szCs w:val="24"/>
            </w:rPr>
            <w:fldChar w:fldCharType="separate"/>
          </w:r>
          <w:r>
            <w:rPr>
              <w:sz w:val="24"/>
              <w:szCs w:val="24"/>
            </w:rPr>
            <w:t>52</w:t>
          </w:r>
          <w:r>
            <w:rPr>
              <w:sz w:val="24"/>
              <w:szCs w:val="24"/>
            </w:rPr>
            <w:fldChar w:fldCharType="end"/>
          </w:r>
          <w:r>
            <w:rPr>
              <w:sz w:val="24"/>
              <w:szCs w:val="24"/>
            </w:rPr>
            <w:fldChar w:fldCharType="end"/>
          </w:r>
        </w:p>
        <w:p w14:paraId="5CD39646">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_Toc23088 </w:instrText>
          </w:r>
          <w:r>
            <w:rPr>
              <w:sz w:val="24"/>
              <w:szCs w:val="24"/>
            </w:rPr>
            <w:fldChar w:fldCharType="separate"/>
          </w:r>
          <w:r>
            <w:rPr>
              <w:rFonts w:hint="eastAsia"/>
              <w:sz w:val="24"/>
              <w:szCs w:val="24"/>
              <w:lang w:val="en-US" w:eastAsia="zh-CN"/>
            </w:rPr>
            <w:t>4.2</w:t>
          </w:r>
          <w:r>
            <w:rPr>
              <w:rFonts w:hint="default"/>
              <w:sz w:val="24"/>
              <w:szCs w:val="24"/>
              <w:lang w:val="en-US" w:eastAsia="zh-CN"/>
            </w:rPr>
            <w:t>水产养殖污染源分析</w:t>
          </w:r>
          <w:r>
            <w:rPr>
              <w:sz w:val="24"/>
              <w:szCs w:val="24"/>
            </w:rPr>
            <w:tab/>
          </w:r>
          <w:r>
            <w:rPr>
              <w:sz w:val="24"/>
              <w:szCs w:val="24"/>
            </w:rPr>
            <w:fldChar w:fldCharType="begin"/>
          </w:r>
          <w:r>
            <w:rPr>
              <w:sz w:val="24"/>
              <w:szCs w:val="24"/>
            </w:rPr>
            <w:instrText xml:space="preserve"> PAGEREF _Toc23088 \h </w:instrText>
          </w:r>
          <w:r>
            <w:rPr>
              <w:sz w:val="24"/>
              <w:szCs w:val="24"/>
            </w:rPr>
            <w:fldChar w:fldCharType="separate"/>
          </w:r>
          <w:r>
            <w:rPr>
              <w:sz w:val="24"/>
              <w:szCs w:val="24"/>
            </w:rPr>
            <w:t>52</w:t>
          </w:r>
          <w:r>
            <w:rPr>
              <w:sz w:val="24"/>
              <w:szCs w:val="24"/>
            </w:rPr>
            <w:fldChar w:fldCharType="end"/>
          </w:r>
          <w:r>
            <w:rPr>
              <w:sz w:val="24"/>
              <w:szCs w:val="24"/>
            </w:rPr>
            <w:fldChar w:fldCharType="end"/>
          </w:r>
        </w:p>
        <w:p w14:paraId="14503F45">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_Toc25287 </w:instrText>
          </w:r>
          <w:r>
            <w:rPr>
              <w:sz w:val="24"/>
              <w:szCs w:val="24"/>
            </w:rPr>
            <w:fldChar w:fldCharType="separate"/>
          </w:r>
          <w:r>
            <w:rPr>
              <w:rFonts w:hint="eastAsia"/>
              <w:sz w:val="24"/>
              <w:szCs w:val="24"/>
              <w:lang w:val="en-US" w:eastAsia="zh-CN"/>
            </w:rPr>
            <w:t>4.3</w:t>
          </w:r>
          <w:r>
            <w:rPr>
              <w:rFonts w:hint="default"/>
              <w:sz w:val="24"/>
              <w:szCs w:val="24"/>
              <w:lang w:val="en-US" w:eastAsia="zh-CN"/>
            </w:rPr>
            <w:t>养殖环境水污染防治措施</w:t>
          </w:r>
          <w:r>
            <w:rPr>
              <w:sz w:val="24"/>
              <w:szCs w:val="24"/>
            </w:rPr>
            <w:tab/>
          </w:r>
          <w:r>
            <w:rPr>
              <w:sz w:val="24"/>
              <w:szCs w:val="24"/>
            </w:rPr>
            <w:fldChar w:fldCharType="begin"/>
          </w:r>
          <w:r>
            <w:rPr>
              <w:sz w:val="24"/>
              <w:szCs w:val="24"/>
            </w:rPr>
            <w:instrText xml:space="preserve"> PAGEREF _Toc25287 \h </w:instrText>
          </w:r>
          <w:r>
            <w:rPr>
              <w:sz w:val="24"/>
              <w:szCs w:val="24"/>
            </w:rPr>
            <w:fldChar w:fldCharType="separate"/>
          </w:r>
          <w:r>
            <w:rPr>
              <w:sz w:val="24"/>
              <w:szCs w:val="24"/>
            </w:rPr>
            <w:t>53</w:t>
          </w:r>
          <w:r>
            <w:rPr>
              <w:sz w:val="24"/>
              <w:szCs w:val="24"/>
            </w:rPr>
            <w:fldChar w:fldCharType="end"/>
          </w:r>
          <w:r>
            <w:rPr>
              <w:sz w:val="24"/>
              <w:szCs w:val="24"/>
            </w:rPr>
            <w:fldChar w:fldCharType="end"/>
          </w:r>
        </w:p>
        <w:p w14:paraId="0AF5B73B">
          <w:pPr>
            <w:pStyle w:val="16"/>
            <w:tabs>
              <w:tab w:val="right" w:leader="dot" w:pos="9242"/>
            </w:tabs>
            <w:spacing w:line="360" w:lineRule="auto"/>
            <w:rPr>
              <w:sz w:val="24"/>
              <w:szCs w:val="24"/>
            </w:rPr>
          </w:pPr>
          <w:r>
            <w:rPr>
              <w:sz w:val="24"/>
              <w:szCs w:val="24"/>
            </w:rPr>
            <w:fldChar w:fldCharType="begin"/>
          </w:r>
          <w:r>
            <w:rPr>
              <w:sz w:val="24"/>
              <w:szCs w:val="24"/>
            </w:rPr>
            <w:instrText xml:space="preserve"> HYPERLINK \l _Toc15448 </w:instrText>
          </w:r>
          <w:r>
            <w:rPr>
              <w:sz w:val="24"/>
              <w:szCs w:val="24"/>
            </w:rPr>
            <w:fldChar w:fldCharType="separate"/>
          </w:r>
          <w:r>
            <w:rPr>
              <w:rFonts w:hint="eastAsia"/>
              <w:sz w:val="24"/>
              <w:szCs w:val="24"/>
            </w:rPr>
            <w:t xml:space="preserve">第五章 </w:t>
          </w:r>
          <w:r>
            <w:rPr>
              <w:sz w:val="24"/>
              <w:szCs w:val="24"/>
            </w:rPr>
            <w:t>保障措施</w:t>
          </w:r>
          <w:r>
            <w:rPr>
              <w:sz w:val="24"/>
              <w:szCs w:val="24"/>
            </w:rPr>
            <w:tab/>
          </w:r>
          <w:r>
            <w:rPr>
              <w:sz w:val="24"/>
              <w:szCs w:val="24"/>
            </w:rPr>
            <w:fldChar w:fldCharType="begin"/>
          </w:r>
          <w:r>
            <w:rPr>
              <w:sz w:val="24"/>
              <w:szCs w:val="24"/>
            </w:rPr>
            <w:instrText xml:space="preserve"> PAGEREF _Toc15448 \h </w:instrText>
          </w:r>
          <w:r>
            <w:rPr>
              <w:sz w:val="24"/>
              <w:szCs w:val="24"/>
            </w:rPr>
            <w:fldChar w:fldCharType="separate"/>
          </w:r>
          <w:r>
            <w:rPr>
              <w:sz w:val="24"/>
              <w:szCs w:val="24"/>
            </w:rPr>
            <w:t>54</w:t>
          </w:r>
          <w:r>
            <w:rPr>
              <w:sz w:val="24"/>
              <w:szCs w:val="24"/>
            </w:rPr>
            <w:fldChar w:fldCharType="end"/>
          </w:r>
          <w:r>
            <w:rPr>
              <w:sz w:val="24"/>
              <w:szCs w:val="24"/>
            </w:rPr>
            <w:fldChar w:fldCharType="end"/>
          </w:r>
        </w:p>
        <w:p w14:paraId="34530AE3">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_Toc28245 </w:instrText>
          </w:r>
          <w:r>
            <w:rPr>
              <w:sz w:val="24"/>
              <w:szCs w:val="24"/>
            </w:rPr>
            <w:fldChar w:fldCharType="separate"/>
          </w:r>
          <w:r>
            <w:rPr>
              <w:rFonts w:hint="eastAsia"/>
              <w:sz w:val="24"/>
              <w:szCs w:val="24"/>
              <w:lang w:val="en-US" w:eastAsia="zh-CN"/>
            </w:rPr>
            <w:t>5.1加强组织领导</w:t>
          </w:r>
          <w:r>
            <w:rPr>
              <w:sz w:val="24"/>
              <w:szCs w:val="24"/>
            </w:rPr>
            <w:tab/>
          </w:r>
          <w:r>
            <w:rPr>
              <w:sz w:val="24"/>
              <w:szCs w:val="24"/>
            </w:rPr>
            <w:fldChar w:fldCharType="begin"/>
          </w:r>
          <w:r>
            <w:rPr>
              <w:sz w:val="24"/>
              <w:szCs w:val="24"/>
            </w:rPr>
            <w:instrText xml:space="preserve"> PAGEREF _Toc28245 \h </w:instrText>
          </w:r>
          <w:r>
            <w:rPr>
              <w:sz w:val="24"/>
              <w:szCs w:val="24"/>
            </w:rPr>
            <w:fldChar w:fldCharType="separate"/>
          </w:r>
          <w:r>
            <w:rPr>
              <w:sz w:val="24"/>
              <w:szCs w:val="24"/>
            </w:rPr>
            <w:t>54</w:t>
          </w:r>
          <w:r>
            <w:rPr>
              <w:sz w:val="24"/>
              <w:szCs w:val="24"/>
            </w:rPr>
            <w:fldChar w:fldCharType="end"/>
          </w:r>
          <w:r>
            <w:rPr>
              <w:sz w:val="24"/>
              <w:szCs w:val="24"/>
            </w:rPr>
            <w:fldChar w:fldCharType="end"/>
          </w:r>
        </w:p>
        <w:p w14:paraId="6A4F7C96">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_Toc15614 </w:instrText>
          </w:r>
          <w:r>
            <w:rPr>
              <w:sz w:val="24"/>
              <w:szCs w:val="24"/>
            </w:rPr>
            <w:fldChar w:fldCharType="separate"/>
          </w:r>
          <w:r>
            <w:rPr>
              <w:rFonts w:hint="eastAsia"/>
              <w:sz w:val="24"/>
              <w:szCs w:val="24"/>
              <w:lang w:val="en-US" w:eastAsia="zh-CN"/>
            </w:rPr>
            <w:t>5.2强化监督检查</w:t>
          </w:r>
          <w:r>
            <w:rPr>
              <w:sz w:val="24"/>
              <w:szCs w:val="24"/>
            </w:rPr>
            <w:tab/>
          </w:r>
          <w:r>
            <w:rPr>
              <w:sz w:val="24"/>
              <w:szCs w:val="24"/>
            </w:rPr>
            <w:fldChar w:fldCharType="begin"/>
          </w:r>
          <w:r>
            <w:rPr>
              <w:sz w:val="24"/>
              <w:szCs w:val="24"/>
            </w:rPr>
            <w:instrText xml:space="preserve"> PAGEREF _Toc15614 \h </w:instrText>
          </w:r>
          <w:r>
            <w:rPr>
              <w:sz w:val="24"/>
              <w:szCs w:val="24"/>
            </w:rPr>
            <w:fldChar w:fldCharType="separate"/>
          </w:r>
          <w:r>
            <w:rPr>
              <w:sz w:val="24"/>
              <w:szCs w:val="24"/>
            </w:rPr>
            <w:t>54</w:t>
          </w:r>
          <w:r>
            <w:rPr>
              <w:sz w:val="24"/>
              <w:szCs w:val="24"/>
            </w:rPr>
            <w:fldChar w:fldCharType="end"/>
          </w:r>
          <w:r>
            <w:rPr>
              <w:sz w:val="24"/>
              <w:szCs w:val="24"/>
            </w:rPr>
            <w:fldChar w:fldCharType="end"/>
          </w:r>
        </w:p>
        <w:p w14:paraId="7987FD8C">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_Toc280 </w:instrText>
          </w:r>
          <w:r>
            <w:rPr>
              <w:sz w:val="24"/>
              <w:szCs w:val="24"/>
            </w:rPr>
            <w:fldChar w:fldCharType="separate"/>
          </w:r>
          <w:r>
            <w:rPr>
              <w:rFonts w:hint="eastAsia"/>
              <w:sz w:val="24"/>
              <w:szCs w:val="24"/>
              <w:lang w:val="en-US" w:eastAsia="zh-CN"/>
            </w:rPr>
            <w:t>5.3完善生态保护</w:t>
          </w:r>
          <w:r>
            <w:rPr>
              <w:sz w:val="24"/>
              <w:szCs w:val="24"/>
            </w:rPr>
            <w:tab/>
          </w:r>
          <w:r>
            <w:rPr>
              <w:sz w:val="24"/>
              <w:szCs w:val="24"/>
            </w:rPr>
            <w:fldChar w:fldCharType="begin"/>
          </w:r>
          <w:r>
            <w:rPr>
              <w:sz w:val="24"/>
              <w:szCs w:val="24"/>
            </w:rPr>
            <w:instrText xml:space="preserve"> PAGEREF _Toc280 \h </w:instrText>
          </w:r>
          <w:r>
            <w:rPr>
              <w:sz w:val="24"/>
              <w:szCs w:val="24"/>
            </w:rPr>
            <w:fldChar w:fldCharType="separate"/>
          </w:r>
          <w:r>
            <w:rPr>
              <w:sz w:val="24"/>
              <w:szCs w:val="24"/>
            </w:rPr>
            <w:t>55</w:t>
          </w:r>
          <w:r>
            <w:rPr>
              <w:sz w:val="24"/>
              <w:szCs w:val="24"/>
            </w:rPr>
            <w:fldChar w:fldCharType="end"/>
          </w:r>
          <w:r>
            <w:rPr>
              <w:sz w:val="24"/>
              <w:szCs w:val="24"/>
            </w:rPr>
            <w:fldChar w:fldCharType="end"/>
          </w:r>
        </w:p>
        <w:p w14:paraId="42A7FF6E">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_Toc19133 </w:instrText>
          </w:r>
          <w:r>
            <w:rPr>
              <w:sz w:val="24"/>
              <w:szCs w:val="24"/>
            </w:rPr>
            <w:fldChar w:fldCharType="separate"/>
          </w:r>
          <w:r>
            <w:rPr>
              <w:rFonts w:hint="eastAsia"/>
              <w:sz w:val="24"/>
              <w:szCs w:val="24"/>
              <w:lang w:val="en-US" w:eastAsia="zh-CN"/>
            </w:rPr>
            <w:t>5.4加强宣传教育</w:t>
          </w:r>
          <w:r>
            <w:rPr>
              <w:sz w:val="24"/>
              <w:szCs w:val="24"/>
            </w:rPr>
            <w:tab/>
          </w:r>
          <w:r>
            <w:rPr>
              <w:sz w:val="24"/>
              <w:szCs w:val="24"/>
            </w:rPr>
            <w:fldChar w:fldCharType="begin"/>
          </w:r>
          <w:r>
            <w:rPr>
              <w:sz w:val="24"/>
              <w:szCs w:val="24"/>
            </w:rPr>
            <w:instrText xml:space="preserve"> PAGEREF _Toc19133 \h </w:instrText>
          </w:r>
          <w:r>
            <w:rPr>
              <w:sz w:val="24"/>
              <w:szCs w:val="24"/>
            </w:rPr>
            <w:fldChar w:fldCharType="separate"/>
          </w:r>
          <w:r>
            <w:rPr>
              <w:sz w:val="24"/>
              <w:szCs w:val="24"/>
            </w:rPr>
            <w:t>55</w:t>
          </w:r>
          <w:r>
            <w:rPr>
              <w:sz w:val="24"/>
              <w:szCs w:val="24"/>
            </w:rPr>
            <w:fldChar w:fldCharType="end"/>
          </w:r>
          <w:r>
            <w:rPr>
              <w:sz w:val="24"/>
              <w:szCs w:val="24"/>
            </w:rPr>
            <w:fldChar w:fldCharType="end"/>
          </w:r>
        </w:p>
        <w:p w14:paraId="5DAC42CA">
          <w:pPr>
            <w:pStyle w:val="16"/>
            <w:tabs>
              <w:tab w:val="right" w:leader="dot" w:pos="9242"/>
            </w:tabs>
            <w:spacing w:line="360" w:lineRule="auto"/>
            <w:rPr>
              <w:sz w:val="24"/>
              <w:szCs w:val="24"/>
            </w:rPr>
          </w:pPr>
          <w:r>
            <w:rPr>
              <w:sz w:val="24"/>
              <w:szCs w:val="24"/>
            </w:rPr>
            <w:fldChar w:fldCharType="begin"/>
          </w:r>
          <w:r>
            <w:rPr>
              <w:sz w:val="24"/>
              <w:szCs w:val="24"/>
            </w:rPr>
            <w:instrText xml:space="preserve"> HYPERLINK \l _Toc31071 </w:instrText>
          </w:r>
          <w:r>
            <w:rPr>
              <w:sz w:val="24"/>
              <w:szCs w:val="24"/>
            </w:rPr>
            <w:fldChar w:fldCharType="separate"/>
          </w:r>
          <w:r>
            <w:rPr>
              <w:sz w:val="24"/>
              <w:szCs w:val="24"/>
            </w:rPr>
            <w:t>第</w:t>
          </w:r>
          <w:r>
            <w:rPr>
              <w:rFonts w:hint="eastAsia"/>
              <w:sz w:val="24"/>
              <w:szCs w:val="24"/>
              <w:lang w:val="en-US" w:eastAsia="zh-CN"/>
            </w:rPr>
            <w:t>六</w:t>
          </w:r>
          <w:r>
            <w:rPr>
              <w:sz w:val="24"/>
              <w:szCs w:val="24"/>
            </w:rPr>
            <w:t>章</w:t>
          </w:r>
          <w:r>
            <w:rPr>
              <w:rFonts w:hint="eastAsia"/>
              <w:sz w:val="24"/>
              <w:szCs w:val="24"/>
              <w:lang w:val="en-US" w:eastAsia="zh-CN"/>
            </w:rPr>
            <w:t xml:space="preserve"> </w:t>
          </w:r>
          <w:r>
            <w:rPr>
              <w:sz w:val="24"/>
              <w:szCs w:val="24"/>
            </w:rPr>
            <w:t>附则</w:t>
          </w:r>
          <w:r>
            <w:rPr>
              <w:sz w:val="24"/>
              <w:szCs w:val="24"/>
            </w:rPr>
            <w:tab/>
          </w:r>
          <w:r>
            <w:rPr>
              <w:sz w:val="24"/>
              <w:szCs w:val="24"/>
            </w:rPr>
            <w:fldChar w:fldCharType="begin"/>
          </w:r>
          <w:r>
            <w:rPr>
              <w:sz w:val="24"/>
              <w:szCs w:val="24"/>
            </w:rPr>
            <w:instrText xml:space="preserve"> PAGEREF _Toc31071 \h </w:instrText>
          </w:r>
          <w:r>
            <w:rPr>
              <w:sz w:val="24"/>
              <w:szCs w:val="24"/>
            </w:rPr>
            <w:fldChar w:fldCharType="separate"/>
          </w:r>
          <w:r>
            <w:rPr>
              <w:sz w:val="24"/>
              <w:szCs w:val="24"/>
            </w:rPr>
            <w:t>57</w:t>
          </w:r>
          <w:r>
            <w:rPr>
              <w:sz w:val="24"/>
              <w:szCs w:val="24"/>
            </w:rPr>
            <w:fldChar w:fldCharType="end"/>
          </w:r>
          <w:r>
            <w:rPr>
              <w:sz w:val="24"/>
              <w:szCs w:val="24"/>
            </w:rPr>
            <w:fldChar w:fldCharType="end"/>
          </w:r>
        </w:p>
        <w:p w14:paraId="0EBD322F">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_Toc8820 </w:instrText>
          </w:r>
          <w:r>
            <w:rPr>
              <w:sz w:val="24"/>
              <w:szCs w:val="24"/>
            </w:rPr>
            <w:fldChar w:fldCharType="separate"/>
          </w:r>
          <w:r>
            <w:rPr>
              <w:rFonts w:hint="eastAsia"/>
              <w:sz w:val="24"/>
              <w:szCs w:val="24"/>
              <w:lang w:val="en-US" w:eastAsia="zh-CN"/>
            </w:rPr>
            <w:t>6.1</w:t>
          </w:r>
          <w:r>
            <w:rPr>
              <w:sz w:val="24"/>
              <w:szCs w:val="24"/>
            </w:rPr>
            <w:t>关于规划效力</w:t>
          </w:r>
          <w:r>
            <w:rPr>
              <w:sz w:val="24"/>
              <w:szCs w:val="24"/>
            </w:rPr>
            <w:tab/>
          </w:r>
          <w:r>
            <w:rPr>
              <w:sz w:val="24"/>
              <w:szCs w:val="24"/>
            </w:rPr>
            <w:fldChar w:fldCharType="begin"/>
          </w:r>
          <w:r>
            <w:rPr>
              <w:sz w:val="24"/>
              <w:szCs w:val="24"/>
            </w:rPr>
            <w:instrText xml:space="preserve"> PAGEREF _Toc8820 \h </w:instrText>
          </w:r>
          <w:r>
            <w:rPr>
              <w:sz w:val="24"/>
              <w:szCs w:val="24"/>
            </w:rPr>
            <w:fldChar w:fldCharType="separate"/>
          </w:r>
          <w:r>
            <w:rPr>
              <w:sz w:val="24"/>
              <w:szCs w:val="24"/>
            </w:rPr>
            <w:t>57</w:t>
          </w:r>
          <w:r>
            <w:rPr>
              <w:sz w:val="24"/>
              <w:szCs w:val="24"/>
            </w:rPr>
            <w:fldChar w:fldCharType="end"/>
          </w:r>
          <w:r>
            <w:rPr>
              <w:sz w:val="24"/>
              <w:szCs w:val="24"/>
            </w:rPr>
            <w:fldChar w:fldCharType="end"/>
          </w:r>
        </w:p>
        <w:p w14:paraId="3D636F4C">
          <w:pPr>
            <w:pStyle w:val="18"/>
            <w:tabs>
              <w:tab w:val="right" w:leader="dot" w:pos="9242"/>
            </w:tabs>
            <w:spacing w:line="360" w:lineRule="auto"/>
            <w:rPr>
              <w:sz w:val="24"/>
              <w:szCs w:val="24"/>
            </w:rPr>
          </w:pPr>
          <w:r>
            <w:rPr>
              <w:sz w:val="24"/>
              <w:szCs w:val="24"/>
            </w:rPr>
            <w:fldChar w:fldCharType="begin"/>
          </w:r>
          <w:r>
            <w:rPr>
              <w:sz w:val="24"/>
              <w:szCs w:val="24"/>
            </w:rPr>
            <w:instrText xml:space="preserve"> HYPERLINK \l _Toc16697 </w:instrText>
          </w:r>
          <w:r>
            <w:rPr>
              <w:sz w:val="24"/>
              <w:szCs w:val="24"/>
            </w:rPr>
            <w:fldChar w:fldCharType="separate"/>
          </w:r>
          <w:r>
            <w:rPr>
              <w:rFonts w:hint="eastAsia"/>
              <w:sz w:val="24"/>
              <w:szCs w:val="24"/>
              <w:lang w:val="en-US" w:eastAsia="zh-CN"/>
            </w:rPr>
            <w:t>6.2</w:t>
          </w:r>
          <w:r>
            <w:rPr>
              <w:sz w:val="24"/>
              <w:szCs w:val="24"/>
            </w:rPr>
            <w:t>关于规划图件</w:t>
          </w:r>
          <w:r>
            <w:rPr>
              <w:sz w:val="24"/>
              <w:szCs w:val="24"/>
            </w:rPr>
            <w:tab/>
          </w:r>
          <w:r>
            <w:rPr>
              <w:sz w:val="24"/>
              <w:szCs w:val="24"/>
            </w:rPr>
            <w:fldChar w:fldCharType="begin"/>
          </w:r>
          <w:r>
            <w:rPr>
              <w:sz w:val="24"/>
              <w:szCs w:val="24"/>
            </w:rPr>
            <w:instrText xml:space="preserve"> PAGEREF _Toc16697 \h </w:instrText>
          </w:r>
          <w:r>
            <w:rPr>
              <w:sz w:val="24"/>
              <w:szCs w:val="24"/>
            </w:rPr>
            <w:fldChar w:fldCharType="separate"/>
          </w:r>
          <w:r>
            <w:rPr>
              <w:sz w:val="24"/>
              <w:szCs w:val="24"/>
            </w:rPr>
            <w:t>57</w:t>
          </w:r>
          <w:r>
            <w:rPr>
              <w:sz w:val="24"/>
              <w:szCs w:val="24"/>
            </w:rPr>
            <w:fldChar w:fldCharType="end"/>
          </w:r>
          <w:r>
            <w:rPr>
              <w:sz w:val="24"/>
              <w:szCs w:val="24"/>
            </w:rPr>
            <w:fldChar w:fldCharType="end"/>
          </w:r>
        </w:p>
        <w:p w14:paraId="507DC662">
          <w:pPr>
            <w:pStyle w:val="16"/>
            <w:tabs>
              <w:tab w:val="right" w:leader="dot" w:pos="9242"/>
            </w:tabs>
            <w:spacing w:line="360" w:lineRule="auto"/>
            <w:rPr>
              <w:sz w:val="24"/>
              <w:szCs w:val="24"/>
            </w:rPr>
          </w:pPr>
          <w:r>
            <w:rPr>
              <w:sz w:val="24"/>
              <w:szCs w:val="24"/>
            </w:rPr>
            <w:fldChar w:fldCharType="begin"/>
          </w:r>
          <w:r>
            <w:rPr>
              <w:sz w:val="24"/>
              <w:szCs w:val="24"/>
            </w:rPr>
            <w:instrText xml:space="preserve"> HYPERLINK \l _Toc11278 </w:instrText>
          </w:r>
          <w:r>
            <w:rPr>
              <w:sz w:val="24"/>
              <w:szCs w:val="24"/>
            </w:rPr>
            <w:fldChar w:fldCharType="separate"/>
          </w:r>
          <w:r>
            <w:rPr>
              <w:rFonts w:hint="eastAsia" w:ascii="宋体" w:hAnsi="宋体" w:eastAsia="宋体" w:cs="宋体"/>
              <w:b w:val="0"/>
              <w:bCs w:val="0"/>
              <w:kern w:val="44"/>
              <w:sz w:val="24"/>
              <w:szCs w:val="24"/>
              <w:lang w:val="en-US" w:eastAsia="zh-CN" w:bidi="ar-SA"/>
            </w:rPr>
            <w:t>友好区养殖水域滩涂规划（2025-2030）规划图集</w:t>
          </w:r>
          <w:r>
            <w:rPr>
              <w:sz w:val="24"/>
              <w:szCs w:val="24"/>
            </w:rPr>
            <w:tab/>
          </w:r>
          <w:r>
            <w:rPr>
              <w:sz w:val="24"/>
              <w:szCs w:val="24"/>
            </w:rPr>
            <w:fldChar w:fldCharType="begin"/>
          </w:r>
          <w:r>
            <w:rPr>
              <w:sz w:val="24"/>
              <w:szCs w:val="24"/>
            </w:rPr>
            <w:instrText xml:space="preserve"> PAGEREF _Toc11278 \h </w:instrText>
          </w:r>
          <w:r>
            <w:rPr>
              <w:sz w:val="24"/>
              <w:szCs w:val="24"/>
            </w:rPr>
            <w:fldChar w:fldCharType="separate"/>
          </w:r>
          <w:r>
            <w:rPr>
              <w:sz w:val="24"/>
              <w:szCs w:val="24"/>
            </w:rPr>
            <w:t>58</w:t>
          </w:r>
          <w:r>
            <w:rPr>
              <w:sz w:val="24"/>
              <w:szCs w:val="24"/>
            </w:rPr>
            <w:fldChar w:fldCharType="end"/>
          </w:r>
          <w:r>
            <w:rPr>
              <w:sz w:val="24"/>
              <w:szCs w:val="24"/>
            </w:rPr>
            <w:fldChar w:fldCharType="end"/>
          </w:r>
        </w:p>
        <w:p w14:paraId="0B08EBA4">
          <w:pPr>
            <w:spacing w:line="360" w:lineRule="auto"/>
            <w:rPr>
              <w:sz w:val="24"/>
              <w:szCs w:val="24"/>
            </w:rPr>
          </w:pPr>
          <w:r>
            <w:rPr>
              <w:sz w:val="24"/>
              <w:szCs w:val="24"/>
            </w:rPr>
            <w:fldChar w:fldCharType="end"/>
          </w:r>
        </w:p>
        <w:p w14:paraId="19591CB2">
          <w:pPr>
            <w:ind w:left="0" w:leftChars="0" w:firstLine="560" w:firstLineChars="200"/>
            <w:jc w:val="both"/>
            <w:rPr>
              <w:rFonts w:hint="eastAsia" w:ascii="黑体" w:hAnsi="黑体" w:eastAsia="黑体" w:cs="Times New Roman"/>
              <w:kern w:val="2"/>
              <w:sz w:val="28"/>
              <w:szCs w:val="32"/>
              <w:highlight w:val="none"/>
              <w:lang w:val="en-US" w:eastAsia="zh-CN" w:bidi="ar-SA"/>
            </w:rPr>
            <w:sectPr>
              <w:headerReference r:id="rId11" w:type="default"/>
              <w:footerReference r:id="rId12" w:type="default"/>
              <w:pgSz w:w="11906" w:h="16838"/>
              <w:pgMar w:top="1531" w:right="1247" w:bottom="1417" w:left="1417" w:header="851" w:footer="992" w:gutter="0"/>
              <w:pgBorders>
                <w:top w:val="none" w:sz="0" w:space="0"/>
                <w:left w:val="none" w:sz="0" w:space="0"/>
                <w:bottom w:val="none" w:sz="0" w:space="0"/>
                <w:right w:val="none" w:sz="0" w:space="0"/>
              </w:pgBorders>
              <w:pgNumType w:fmt="upperRoman"/>
              <w:cols w:space="425" w:num="1"/>
              <w:rtlGutter w:val="0"/>
              <w:docGrid w:type="lines" w:linePitch="312" w:charSpace="0"/>
            </w:sectPr>
          </w:pPr>
        </w:p>
      </w:sdtContent>
    </w:sdt>
    <w:p w14:paraId="714606E1">
      <w:pPr>
        <w:pStyle w:val="2"/>
        <w:numPr>
          <w:ilvl w:val="0"/>
          <w:numId w:val="1"/>
        </w:numPr>
        <w:ind w:left="0" w:leftChars="0" w:firstLine="0" w:firstLineChars="0"/>
        <w:jc w:val="center"/>
        <w:rPr>
          <w:b w:val="0"/>
        </w:rPr>
      </w:pPr>
      <w:bookmarkStart w:id="0" w:name="_Toc9204"/>
      <w:bookmarkStart w:id="1" w:name="_Toc19295"/>
      <w:bookmarkStart w:id="2" w:name="_Toc15082"/>
      <w:bookmarkStart w:id="3" w:name="_Toc24499"/>
      <w:bookmarkStart w:id="4" w:name="_Toc4479"/>
      <w:bookmarkStart w:id="5" w:name="_Toc19957"/>
      <w:bookmarkStart w:id="6" w:name="_Toc16276"/>
      <w:bookmarkStart w:id="7" w:name="_Toc24312"/>
      <w:bookmarkStart w:id="8" w:name="_Toc27821"/>
      <w:r>
        <w:t>总则</w:t>
      </w:r>
      <w:bookmarkEnd w:id="0"/>
      <w:bookmarkEnd w:id="1"/>
      <w:bookmarkEnd w:id="2"/>
      <w:bookmarkEnd w:id="3"/>
      <w:bookmarkEnd w:id="4"/>
      <w:bookmarkEnd w:id="5"/>
      <w:bookmarkEnd w:id="6"/>
      <w:bookmarkEnd w:id="7"/>
      <w:bookmarkEnd w:id="8"/>
    </w:p>
    <w:p w14:paraId="2649CE1C">
      <w:pPr>
        <w:pStyle w:val="3"/>
        <w:numPr>
          <w:ilvl w:val="0"/>
          <w:numId w:val="2"/>
        </w:numPr>
        <w:ind w:left="0" w:leftChars="0" w:firstLine="600" w:firstLineChars="200"/>
        <w:jc w:val="both"/>
      </w:pPr>
      <w:bookmarkStart w:id="9" w:name="_Toc24081"/>
      <w:bookmarkStart w:id="10" w:name="_Toc19487"/>
      <w:bookmarkStart w:id="11" w:name="_Toc28661"/>
      <w:bookmarkStart w:id="12" w:name="_Toc1138"/>
      <w:bookmarkStart w:id="13" w:name="_Toc21631"/>
      <w:bookmarkStart w:id="14" w:name="_Toc20700"/>
      <w:bookmarkStart w:id="15" w:name="_Toc21207"/>
      <w:bookmarkStart w:id="16" w:name="_Toc10416"/>
      <w:bookmarkStart w:id="17" w:name="_Toc11119"/>
      <w:r>
        <w:t>前言</w:t>
      </w:r>
      <w:bookmarkEnd w:id="9"/>
      <w:bookmarkEnd w:id="10"/>
      <w:bookmarkEnd w:id="11"/>
      <w:bookmarkEnd w:id="12"/>
      <w:bookmarkEnd w:id="13"/>
      <w:bookmarkEnd w:id="14"/>
      <w:bookmarkEnd w:id="15"/>
      <w:bookmarkEnd w:id="16"/>
      <w:bookmarkEnd w:id="17"/>
      <w:bookmarkStart w:id="18" w:name="_Toc9962"/>
    </w:p>
    <w:p w14:paraId="6DAD5B1C">
      <w:pPr>
        <w:pStyle w:val="4"/>
        <w:numPr>
          <w:ilvl w:val="0"/>
          <w:numId w:val="3"/>
        </w:numPr>
        <w:ind w:left="0" w:leftChars="0" w:firstLine="600" w:firstLineChars="200"/>
        <w:jc w:val="both"/>
      </w:pPr>
      <w:bookmarkStart w:id="19" w:name="_Toc7774"/>
      <w:bookmarkStart w:id="20" w:name="_Toc7141"/>
      <w:bookmarkStart w:id="21" w:name="_Toc20181"/>
      <w:bookmarkStart w:id="22" w:name="_Toc9332"/>
      <w:r>
        <w:t>上一轮规划的批复情况</w:t>
      </w:r>
      <w:bookmarkEnd w:id="18"/>
      <w:bookmarkEnd w:id="19"/>
      <w:bookmarkEnd w:id="20"/>
      <w:bookmarkEnd w:id="21"/>
      <w:bookmarkEnd w:id="22"/>
    </w:p>
    <w:p w14:paraId="5B62B603">
      <w:pPr>
        <w:pStyle w:val="11"/>
        <w:spacing w:line="360" w:lineRule="auto"/>
        <w:ind w:leftChars="0" w:firstLine="560" w:firstLineChars="200"/>
        <w:jc w:val="both"/>
        <w:rPr>
          <w:rFonts w:ascii="Times New Roman" w:hAnsi="Times New Roman" w:eastAsia="宋体" w:cs="Times New Roman"/>
          <w:sz w:val="24"/>
          <w:szCs w:val="24"/>
        </w:rPr>
      </w:pPr>
      <w:r>
        <w:rPr>
          <w:rFonts w:hint="eastAsia" w:cs="Times New Roman"/>
          <w:sz w:val="28"/>
          <w:szCs w:val="28"/>
          <w:lang w:val="en-US" w:eastAsia="zh-CN"/>
        </w:rPr>
        <w:t>上一轮</w:t>
      </w:r>
      <w:r>
        <w:rPr>
          <w:rFonts w:hint="eastAsia" w:cs="Times New Roman"/>
          <w:sz w:val="28"/>
          <w:szCs w:val="28"/>
          <w:lang w:eastAsia="zh-CN"/>
        </w:rPr>
        <w:t>友好区</w:t>
      </w:r>
      <w:r>
        <w:rPr>
          <w:rFonts w:ascii="Times New Roman" w:hAnsi="Times New Roman" w:eastAsia="宋体" w:cs="Times New Roman"/>
          <w:sz w:val="28"/>
          <w:szCs w:val="28"/>
        </w:rPr>
        <w:t>未</w:t>
      </w:r>
      <w:r>
        <w:rPr>
          <w:rFonts w:hint="eastAsia" w:cs="Times New Roman"/>
          <w:sz w:val="28"/>
          <w:szCs w:val="28"/>
          <w:lang w:val="en-US" w:eastAsia="zh-CN"/>
        </w:rPr>
        <w:t>单独做过</w:t>
      </w:r>
      <w:r>
        <w:rPr>
          <w:rFonts w:ascii="Times New Roman" w:hAnsi="Times New Roman" w:eastAsia="宋体" w:cs="Times New Roman"/>
          <w:sz w:val="28"/>
          <w:szCs w:val="28"/>
        </w:rPr>
        <w:t>养殖水域滩涂规划，由伊春市统一编制了《伊春市养殖水域滩涂规划（2018-2030年）》，并于2020年6月3日通过伊春市政府平台发布实施。</w:t>
      </w:r>
    </w:p>
    <w:p w14:paraId="356AA5C3">
      <w:pPr>
        <w:pStyle w:val="4"/>
        <w:numPr>
          <w:ilvl w:val="0"/>
          <w:numId w:val="3"/>
        </w:numPr>
        <w:ind w:left="0" w:leftChars="0" w:firstLine="600" w:firstLineChars="200"/>
        <w:jc w:val="both"/>
        <w:rPr>
          <w:b w:val="0"/>
        </w:rPr>
      </w:pPr>
      <w:bookmarkStart w:id="23" w:name="_Toc27140"/>
      <w:bookmarkStart w:id="24" w:name="_Toc21199"/>
      <w:bookmarkStart w:id="25" w:name="_Toc15949"/>
      <w:bookmarkStart w:id="26" w:name="_Toc22419"/>
      <w:r>
        <w:t>面临形势</w:t>
      </w:r>
      <w:bookmarkEnd w:id="23"/>
      <w:bookmarkEnd w:id="24"/>
      <w:bookmarkEnd w:id="25"/>
      <w:bookmarkEnd w:id="26"/>
    </w:p>
    <w:p w14:paraId="25D7D48A">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养殖水域滩涂规划是渔业管理的基本制度，是水产养殖业发展的布局依据，是推进产业转型升级的重要抓手。当前，我国渔业结构进一步优化，产业素质明显提高，由于国家对渔业经济体制和价格体制进行改革，极大地调动渔民发展生产的积极性，使渔业走上一个快速发展的阶段。并且我国渔业经济增长方式开始从过去单纯追求产量增长，转向更加注重质量和效益的提高；注重资源的可持续发展。特别是随着我国农业供给侧结构性改革，将开创渔业现代化建设新局面。</w:t>
      </w:r>
    </w:p>
    <w:p w14:paraId="4B2550CC">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近年来，我国渔业持续较快发展，水产品产量大幅增长，市场供应充足，为保障国家食物安全、促进农渔民增收和经济社会发展做出了重要贡献。但是，渔业发展方式粗放，设施装备落后，资源日益衰竭，水域污染严重，效益持续下滑，质量安全存在隐患，现代渔业发展面临诸多挑战。</w:t>
      </w:r>
    </w:p>
    <w:p w14:paraId="2459E028">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伊春市依托优质寒地水域、森林生态资源优势，水产养殖规模稳步扩大，特色水产品市场供给持续增加，在保障区域食材安全、带动林区群众就业增收、助推乡村振兴和地方经济发展中发挥了重要作用。同时也要清醒看到，区域渔业发展仍存在诸多短板与突出挑战：传统粗放养殖方式仍普遍存在，标准化养殖设施装备较为落后；境内河湖水域生态承载有限，水生渔业资源衰退问题逐步显现；部分养殖区域存在水体污染、养殖尾水治理不到位等问题；养殖经营效益增长乏力，水产品质量安全管控仍有隐患，产业链条短、品牌化程度低，现代生态渔业高质量发展仍面临较大压力。</w:t>
      </w:r>
    </w:p>
    <w:p w14:paraId="78057468">
      <w:pPr>
        <w:pStyle w:val="4"/>
        <w:numPr>
          <w:ilvl w:val="0"/>
          <w:numId w:val="3"/>
        </w:numPr>
        <w:ind w:left="0" w:leftChars="0" w:firstLine="600" w:firstLineChars="200"/>
        <w:jc w:val="both"/>
        <w:rPr>
          <w:b w:val="0"/>
        </w:rPr>
      </w:pPr>
      <w:bookmarkStart w:id="27" w:name="_Toc22286"/>
      <w:bookmarkStart w:id="28" w:name="_Toc31049"/>
      <w:bookmarkStart w:id="29" w:name="_Toc4510"/>
      <w:bookmarkStart w:id="30" w:name="_Toc7559"/>
      <w:bookmarkStart w:id="31" w:name="_Toc23421"/>
      <w:r>
        <w:t>规划背景</w:t>
      </w:r>
      <w:bookmarkEnd w:id="27"/>
      <w:bookmarkEnd w:id="28"/>
      <w:bookmarkEnd w:id="29"/>
      <w:bookmarkEnd w:id="30"/>
      <w:bookmarkEnd w:id="31"/>
    </w:p>
    <w:p w14:paraId="0F45E708">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2018年10月，伊春市人民政府编制并发布了《伊春市养殖水域滩涂规划（2018—2030）》（以下简称《规划》），为稳定全县水产养殖空间、优化渔业产业发展布局和保障渔民合法权益提供了有力保障。</w:t>
      </w:r>
    </w:p>
    <w:p w14:paraId="1FD9493B">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2020年12月，黑龙江省农业农村厅编制并发布了《黑龙江省养殖水域滩涂规划（2020—2030）》（以下简称《省级规划》）。至此，省、市、县三级水域滩涂规划全部编制完成。自《省级规划》发布实施以来，为全省水产养殖业发展提供了有力支撑，在推进全省水产业转型升级、保障渔业可持续发展以及维护生态安全方面发挥了积极作用。</w:t>
      </w:r>
    </w:p>
    <w:p w14:paraId="02E05D05">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由于《省级规划》编制时，黑龙江省农垦和森工系统行政职能移交属地改革正在实施，《黑龙江省国土空间规划（2021—2035年）》（以下简称《省级国土空间规划》）还处于编制阶段，同时，黑龙江省第三次国土调查和自然保护地整合工作尚未完成，导致《规划》在覆盖范围、与上位及本级相关规划的衔接及协调性方面存在不足。</w:t>
      </w:r>
    </w:p>
    <w:p w14:paraId="291A42BA">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因《省级规划》“第十七节规划效力”阐明在规划时限内，国家和我省国民经济和社会发展、国土空间规划，自然保护地优化等如有调整，水域滩涂规划也将申请进行相应调整修订。目前，《省级国土空间规划》已正式发布，第三次国土调查、自然保护地整合、农垦和森工系统行政职能也均已改革完成。因此，原规划有必要及时进行修订，特别是2023年中央审计署在黑龙江省开展畜牧水产品稳定保供相关资金专项审计后，反馈黑龙江省养殖水域滩涂规划编制覆盖不完全，黑龙江省自然保护地整合及国土空间规划发布后，水域滩涂规划未进行相应调整修订等问题，为此，经黑龙江省农业农村厅研究，决定启动全省水域滩涂规划修订工作，以提高规划的实效性、可操作性和覆盖度。</w:t>
      </w:r>
    </w:p>
    <w:p w14:paraId="3E4A2251">
      <w:pPr>
        <w:pStyle w:val="4"/>
        <w:numPr>
          <w:ilvl w:val="0"/>
          <w:numId w:val="3"/>
        </w:numPr>
        <w:ind w:left="0" w:leftChars="0" w:firstLine="600" w:firstLineChars="200"/>
        <w:jc w:val="both"/>
        <w:rPr>
          <w:b w:val="0"/>
        </w:rPr>
      </w:pPr>
      <w:bookmarkStart w:id="32" w:name="_Toc25"/>
      <w:bookmarkStart w:id="33" w:name="_Toc2166"/>
      <w:bookmarkStart w:id="34" w:name="_Toc23622"/>
      <w:bookmarkStart w:id="35" w:name="_Toc10268"/>
      <w:bookmarkStart w:id="36" w:name="_Toc26239"/>
      <w:r>
        <w:t>规划指导思想</w:t>
      </w:r>
      <w:bookmarkEnd w:id="32"/>
      <w:bookmarkEnd w:id="33"/>
      <w:bookmarkEnd w:id="34"/>
      <w:bookmarkEnd w:id="35"/>
      <w:bookmarkEnd w:id="36"/>
    </w:p>
    <w:p w14:paraId="533A7558">
      <w:pPr>
        <w:ind w:firstLine="560" w:firstLineChars="200"/>
      </w:pPr>
      <w:r>
        <w:rPr>
          <w:rFonts w:hint="eastAsia"/>
          <w:lang w:val="en-US" w:eastAsia="zh-CN"/>
        </w:rPr>
        <w:t>养殖水域滩涂规划坚持习近平生态文明思想，以创新、协调、绿色、开放、共享五大发展理念为引领，立足资源禀赋与环境承载力，科学划定养殖功能区、合理布局生产，稳定基本养殖水域、保障渔民权益、保护水域生态，实现提质增效、减量增收、绿色发展、富裕渔民的总目标，确保供给安全、生态安全与产品质量安全。</w:t>
      </w:r>
    </w:p>
    <w:p w14:paraId="1049939E">
      <w:pPr>
        <w:pStyle w:val="5"/>
        <w:numPr>
          <w:ilvl w:val="0"/>
          <w:numId w:val="4"/>
        </w:numPr>
        <w:ind w:left="0" w:leftChars="0" w:firstLine="560" w:firstLineChars="200"/>
        <w:jc w:val="both"/>
        <w:rPr>
          <w:b w:val="0"/>
        </w:rPr>
      </w:pPr>
      <w:r>
        <w:t>高度重视，充分认识规划修订工作的重要意义</w:t>
      </w:r>
    </w:p>
    <w:p w14:paraId="3157BC2C">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依法划定可以用于水产养殖业的水域滩涂、有序布局水产养殖发展空间，维护广大渔民切身利益。规划修订过程中功能区划定要依法依规、尊重历史，不随意改变原有养殖水域滩涂用途，没有法律法规明确禁止的，不随意划为禁养区，不搞禁限养扩大化，防止搞一刀切，避免因此产生新的社会问题和矛盾。指定专人负责并按时推进，高质量完成规划修订及发布工作。</w:t>
      </w:r>
    </w:p>
    <w:p w14:paraId="5D1BC23A">
      <w:pPr>
        <w:pStyle w:val="5"/>
        <w:numPr>
          <w:ilvl w:val="0"/>
          <w:numId w:val="4"/>
        </w:numPr>
        <w:ind w:left="0" w:leftChars="0" w:firstLine="560" w:firstLineChars="200"/>
        <w:jc w:val="both"/>
        <w:rPr>
          <w:b w:val="0"/>
        </w:rPr>
      </w:pPr>
      <w:r>
        <w:t>把握要点，科学修订完善本级水域滩涂规划内容</w:t>
      </w:r>
    </w:p>
    <w:p w14:paraId="43590184">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本次水域滩涂规划修订的主要内容包括：一是理顺本级规划与上级及同级</w:t>
      </w:r>
      <w:r>
        <w:rPr>
          <w:rFonts w:ascii="Times New Roman" w:hAnsi="Times New Roman" w:eastAsia="宋体" w:cs="Times New Roman"/>
          <w:sz w:val="28"/>
          <w:szCs w:val="28"/>
          <w:highlight w:val="none"/>
        </w:rPr>
        <w:t>《伊春市国土空间总体规划（2021—2035年）》</w:t>
      </w:r>
      <w:r>
        <w:rPr>
          <w:rFonts w:ascii="Times New Roman" w:hAnsi="Times New Roman" w:eastAsia="宋体" w:cs="Times New Roman"/>
          <w:sz w:val="28"/>
          <w:szCs w:val="28"/>
        </w:rPr>
        <w:t>（以下简称《国土空间规划》）的关系，确保功能区划分符合要求。二是与整合后的自然保护地有机衔接，功能区划数据完全契合。三是做到应划尽划，确保规划真正实现全覆盖。四是数据修订使用国土空间规划及第三次全国国土调查（简称‘国土三调’）的平台、数据及矢量图表，补全功能区信息数据。修订工作依据《黑龙江省养殖水域滩涂规划（2020—2030）》修订技术指南开展，并与本级其他相关专项规划相衔接，确保修订规划的规范性、科学性和可操作性。</w:t>
      </w:r>
    </w:p>
    <w:p w14:paraId="62A4B920">
      <w:pPr>
        <w:pStyle w:val="5"/>
        <w:numPr>
          <w:ilvl w:val="0"/>
          <w:numId w:val="4"/>
        </w:numPr>
        <w:ind w:left="0" w:leftChars="0" w:firstLine="560" w:firstLineChars="200"/>
        <w:jc w:val="both"/>
        <w:rPr>
          <w:b w:val="0"/>
        </w:rPr>
      </w:pPr>
      <w:r>
        <w:t>明确时限，保质保量完成规划修订工作任务</w:t>
      </w:r>
    </w:p>
    <w:p w14:paraId="3D72BEF7">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严格把握规划修订工作完成时限。加强组织领导，明确任务分工，组建技术团队，确保规划修订工作任务按时高质量完成。按照季度调度和年度通报工作机制要求，于每季度末前组织填写并上报《规划修订发布工作进展情况季报表》。</w:t>
      </w:r>
    </w:p>
    <w:p w14:paraId="0704C0DB">
      <w:pPr>
        <w:pStyle w:val="5"/>
        <w:numPr>
          <w:ilvl w:val="0"/>
          <w:numId w:val="4"/>
        </w:numPr>
        <w:ind w:left="0" w:leftChars="0" w:firstLine="560" w:firstLineChars="200"/>
        <w:jc w:val="both"/>
        <w:rPr>
          <w:b w:val="0"/>
        </w:rPr>
      </w:pPr>
      <w:r>
        <w:t>加强领导服务，定期调度规划修订进展情况</w:t>
      </w:r>
    </w:p>
    <w:p w14:paraId="511D4C54">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成立由人民政府主管领导任组长，由农业农村局等相关部门主要负责同志任副组长的工作领导小组，统筹解决规划编制修订所需要的人力、财力、物力，协调国土、规划等相关部门，审定工作方案，按时推进各项工作落实。</w:t>
      </w:r>
    </w:p>
    <w:p w14:paraId="68301ADD">
      <w:pPr>
        <w:pStyle w:val="4"/>
        <w:numPr>
          <w:ilvl w:val="0"/>
          <w:numId w:val="3"/>
        </w:numPr>
        <w:ind w:left="0" w:leftChars="0" w:firstLine="600" w:firstLineChars="200"/>
        <w:jc w:val="both"/>
        <w:rPr>
          <w:b w:val="0"/>
        </w:rPr>
      </w:pPr>
      <w:bookmarkStart w:id="37" w:name="_Toc2190"/>
      <w:bookmarkStart w:id="38" w:name="_Toc13106"/>
      <w:bookmarkStart w:id="39" w:name="_Toc8438"/>
      <w:bookmarkStart w:id="40" w:name="_Toc16661"/>
      <w:bookmarkStart w:id="41" w:name="_Toc26387"/>
      <w:r>
        <w:t>规划目的及意义</w:t>
      </w:r>
      <w:bookmarkEnd w:id="37"/>
      <w:bookmarkEnd w:id="38"/>
      <w:bookmarkEnd w:id="39"/>
      <w:bookmarkEnd w:id="40"/>
      <w:bookmarkEnd w:id="41"/>
    </w:p>
    <w:p w14:paraId="40BF3F1F">
      <w:pPr>
        <w:pStyle w:val="11"/>
        <w:widowControl/>
        <w:ind w:leftChars="0" w:firstLine="560" w:firstLineChars="200"/>
        <w:jc w:val="both"/>
        <w:rPr>
          <w:rFonts w:ascii="Times New Roman" w:hAnsi="Times New Roman" w:eastAsia="宋体" w:cs="Times New Roman"/>
          <w:sz w:val="28"/>
          <w:szCs w:val="28"/>
        </w:rPr>
      </w:pPr>
      <w:bookmarkStart w:id="42" w:name="_Toc9506"/>
      <w:r>
        <w:rPr>
          <w:rFonts w:ascii="Times New Roman" w:hAnsi="Times New Roman" w:eastAsia="宋体" w:cs="Times New Roman"/>
          <w:sz w:val="28"/>
          <w:szCs w:val="28"/>
        </w:rPr>
        <w:t>为深入贯彻落实《中华人民共和国渔业法》《中华人民共和国环境保护法》《中华人民共和国湿地保护法》等法律法规，严格执行农业农村部养殖水域滩涂规划编制规范、黑龙江省养殖水域滩涂规划（2020—2030）及黑农厅函〔2024〕975 号文件要求，顺应国土空间规划发布、自然保护地整合优化、生态保护红线从严管控、农垦森工职能移交等重大改革形势，全面解决原规划实施过程中存在的覆盖不全面、与上位规划衔接不紧密、功能区划不精准、数据依据不统一等突出问题，扎实做好审计反馈问题整改，依法依规、科学合理开展本次规划修订工作。</w:t>
      </w:r>
    </w:p>
    <w:p w14:paraId="2990E5E5">
      <w:pPr>
        <w:pStyle w:val="11"/>
        <w:widowControl/>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开展</w:t>
      </w:r>
      <w:r>
        <w:rPr>
          <w:rFonts w:hint="eastAsia" w:cs="Times New Roman"/>
          <w:sz w:val="28"/>
          <w:szCs w:val="28"/>
          <w:lang w:eastAsia="zh-CN"/>
        </w:rPr>
        <w:t>友好区</w:t>
      </w:r>
      <w:r>
        <w:rPr>
          <w:rFonts w:ascii="Times New Roman" w:hAnsi="Times New Roman" w:eastAsia="宋体" w:cs="Times New Roman"/>
          <w:sz w:val="28"/>
          <w:szCs w:val="28"/>
        </w:rPr>
        <w:t>养殖水域滩涂规划修订，一是落实法定职责、强化空间管控的必然要求。通过明确禁养区、限养区、养殖区边界，实现水域滩涂用途管制规范化、制度化，确保渔业发展有空间、生产有依据、权益有保障。二是衔接上位规划、实现多规合一的关键举措。全面对接国土空间规划 “三区三线”、自然保护地整合优化成果、河湖管理范围及饮用水水源保护区划定成果，确保本级规划与上级规划数据契合、空间一致、管理协同。三是稳定养殖生产、保障渔民利益的现实需要。坚持尊重历史、实事求是，不随意扩大禁限养范围、不搞 “一刀切”，依法保护既有合法养殖水域，稳定渔业生产基本盘，促进渔民持续增收。四是严守生态底线、推动绿色发展的重要支撑。统筹生态保护与渔业发展，引导养殖向合规区域集聚、向生态健康模式转型，实现资源节约、环境友好、永续利用。五是优化产业布局、提升发展质效的基础保障。依托</w:t>
      </w:r>
      <w:r>
        <w:rPr>
          <w:rFonts w:hint="eastAsia" w:cs="Times New Roman"/>
          <w:sz w:val="28"/>
          <w:szCs w:val="28"/>
          <w:lang w:eastAsia="zh-CN"/>
        </w:rPr>
        <w:t>友好区</w:t>
      </w:r>
      <w:r>
        <w:rPr>
          <w:rFonts w:ascii="Times New Roman" w:hAnsi="Times New Roman" w:eastAsia="宋体" w:cs="Times New Roman"/>
          <w:sz w:val="28"/>
          <w:szCs w:val="28"/>
        </w:rPr>
        <w:t>冷水资源优势，合理布局生态养殖、特色养殖、设施养殖，推动渔业规模化、标准化、品牌化发展，构建产出高效、产品安全的现代渔业体系。</w:t>
      </w:r>
    </w:p>
    <w:p w14:paraId="204CC569">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本次规划修订，对于规范水域开发秩序、强化渔业治理能力、保障水域生态安全、促进乡村产业振兴具有十分重要的现实意义和长远意义，是推动</w:t>
      </w:r>
      <w:r>
        <w:rPr>
          <w:rFonts w:hint="eastAsia" w:cs="Times New Roman"/>
          <w:sz w:val="28"/>
          <w:szCs w:val="28"/>
          <w:lang w:eastAsia="zh-CN"/>
        </w:rPr>
        <w:t>友好区</w:t>
      </w:r>
      <w:r>
        <w:rPr>
          <w:rFonts w:ascii="Times New Roman" w:hAnsi="Times New Roman" w:eastAsia="宋体" w:cs="Times New Roman"/>
          <w:sz w:val="28"/>
          <w:szCs w:val="28"/>
        </w:rPr>
        <w:t>冷水生态渔业高质量、可持续发展的基础性、纲领性工作。</w:t>
      </w:r>
    </w:p>
    <w:p w14:paraId="54C4506C">
      <w:pPr>
        <w:pStyle w:val="3"/>
        <w:numPr>
          <w:ilvl w:val="0"/>
          <w:numId w:val="2"/>
        </w:numPr>
        <w:ind w:left="0" w:leftChars="0" w:firstLine="600" w:firstLineChars="200"/>
        <w:jc w:val="both"/>
        <w:rPr>
          <w:b w:val="0"/>
        </w:rPr>
      </w:pPr>
      <w:bookmarkStart w:id="43" w:name="_Toc2532"/>
      <w:bookmarkStart w:id="44" w:name="_Toc752"/>
      <w:bookmarkStart w:id="45" w:name="_Toc11771"/>
      <w:bookmarkStart w:id="46" w:name="_Toc25835"/>
      <w:bookmarkStart w:id="47" w:name="_Toc3053"/>
      <w:bookmarkStart w:id="48" w:name="_Toc22670"/>
      <w:bookmarkStart w:id="49" w:name="_Toc23269"/>
      <w:bookmarkStart w:id="50" w:name="_Toc16352"/>
      <w:r>
        <w:rPr>
          <w:rFonts w:hint="eastAsia"/>
          <w:lang w:val="en-US" w:eastAsia="zh-CN"/>
        </w:rPr>
        <w:t>编制</w:t>
      </w:r>
      <w:r>
        <w:t>依据</w:t>
      </w:r>
      <w:bookmarkEnd w:id="42"/>
      <w:bookmarkEnd w:id="43"/>
      <w:bookmarkEnd w:id="44"/>
      <w:bookmarkEnd w:id="45"/>
      <w:bookmarkEnd w:id="46"/>
      <w:bookmarkEnd w:id="47"/>
      <w:bookmarkEnd w:id="48"/>
      <w:bookmarkEnd w:id="49"/>
      <w:bookmarkEnd w:id="50"/>
    </w:p>
    <w:p w14:paraId="31151CEF">
      <w:pPr>
        <w:pStyle w:val="4"/>
        <w:numPr>
          <w:ilvl w:val="0"/>
          <w:numId w:val="5"/>
        </w:numPr>
        <w:ind w:left="0" w:leftChars="0" w:firstLine="600" w:firstLineChars="200"/>
        <w:jc w:val="both"/>
        <w:rPr>
          <w:b w:val="0"/>
        </w:rPr>
      </w:pPr>
      <w:bookmarkStart w:id="51" w:name="_Toc27296"/>
      <w:bookmarkStart w:id="52" w:name="_Toc510100679"/>
      <w:bookmarkStart w:id="53" w:name="_Toc4423"/>
      <w:bookmarkStart w:id="54" w:name="_Toc32194"/>
      <w:bookmarkStart w:id="55" w:name="_Toc29340"/>
      <w:bookmarkStart w:id="56" w:name="_Toc7711"/>
      <w:r>
        <w:t>相关法律法规</w:t>
      </w:r>
      <w:bookmarkEnd w:id="51"/>
      <w:bookmarkEnd w:id="52"/>
      <w:bookmarkEnd w:id="53"/>
      <w:bookmarkEnd w:id="54"/>
      <w:bookmarkEnd w:id="55"/>
      <w:bookmarkEnd w:id="56"/>
    </w:p>
    <w:p w14:paraId="1970885C">
      <w:pPr>
        <w:pStyle w:val="11"/>
        <w:numPr>
          <w:ilvl w:val="0"/>
          <w:numId w:val="6"/>
        </w:numPr>
        <w:ind w:left="0" w:leftChars="0" w:firstLine="560" w:firstLineChars="200"/>
        <w:jc w:val="both"/>
        <w:rPr>
          <w:rFonts w:ascii="Times New Roman" w:hAnsi="Times New Roman" w:eastAsia="宋体" w:cs="Times New Roman"/>
          <w:b w:val="0"/>
          <w:color w:val="auto"/>
          <w:sz w:val="28"/>
          <w:szCs w:val="28"/>
        </w:rPr>
      </w:pPr>
      <w:bookmarkStart w:id="57" w:name="_Toc510100680"/>
      <w:r>
        <w:rPr>
          <w:rFonts w:ascii="Times New Roman" w:hAnsi="Times New Roman" w:eastAsia="宋体" w:cs="Times New Roman"/>
          <w:color w:val="auto"/>
          <w:sz w:val="28"/>
          <w:szCs w:val="28"/>
        </w:rPr>
        <w:t>《中华人民共和国渔业法》（2025.12.27修订）；</w:t>
      </w:r>
    </w:p>
    <w:p w14:paraId="5AF50ECB">
      <w:pPr>
        <w:pStyle w:val="11"/>
        <w:numPr>
          <w:ilvl w:val="0"/>
          <w:numId w:val="6"/>
        </w:numPr>
        <w:ind w:left="0" w:leftChars="0" w:firstLine="560" w:firstLineChars="200"/>
        <w:jc w:val="both"/>
        <w:rPr>
          <w:rFonts w:ascii="Times New Roman" w:hAnsi="Times New Roman" w:eastAsia="宋体" w:cs="Times New Roman"/>
          <w:b w:val="0"/>
          <w:color w:val="auto"/>
          <w:sz w:val="28"/>
          <w:szCs w:val="28"/>
        </w:rPr>
      </w:pPr>
      <w:r>
        <w:rPr>
          <w:rFonts w:ascii="Times New Roman" w:hAnsi="Times New Roman" w:eastAsia="宋体" w:cs="Times New Roman"/>
          <w:color w:val="auto"/>
          <w:sz w:val="28"/>
          <w:szCs w:val="28"/>
        </w:rPr>
        <w:t>《中华人民共和国环境保护法》（2015.1.1）；</w:t>
      </w:r>
    </w:p>
    <w:p w14:paraId="29D0873B">
      <w:pPr>
        <w:pStyle w:val="11"/>
        <w:numPr>
          <w:ilvl w:val="0"/>
          <w:numId w:val="6"/>
        </w:numPr>
        <w:ind w:left="0" w:leftChars="0" w:firstLine="560" w:firstLineChars="200"/>
        <w:jc w:val="both"/>
        <w:rPr>
          <w:rFonts w:ascii="Times New Roman" w:hAnsi="Times New Roman" w:eastAsia="宋体" w:cs="Times New Roman"/>
          <w:b w:val="0"/>
          <w:color w:val="auto"/>
          <w:sz w:val="28"/>
          <w:szCs w:val="28"/>
        </w:rPr>
      </w:pPr>
      <w:r>
        <w:rPr>
          <w:rFonts w:ascii="Times New Roman" w:hAnsi="Times New Roman" w:eastAsia="宋体" w:cs="Times New Roman"/>
          <w:color w:val="auto"/>
          <w:sz w:val="28"/>
          <w:szCs w:val="28"/>
        </w:rPr>
        <w:t>《中华人民共和国水法》（2016.7.2）；</w:t>
      </w:r>
    </w:p>
    <w:p w14:paraId="08FDDA85">
      <w:pPr>
        <w:pStyle w:val="11"/>
        <w:numPr>
          <w:ilvl w:val="0"/>
          <w:numId w:val="6"/>
        </w:numPr>
        <w:ind w:left="0" w:leftChars="0" w:firstLine="560" w:firstLineChars="200"/>
        <w:jc w:val="both"/>
        <w:rPr>
          <w:rFonts w:ascii="Times New Roman" w:hAnsi="Times New Roman" w:eastAsia="宋体" w:cs="Times New Roman"/>
          <w:b w:val="0"/>
          <w:color w:val="auto"/>
          <w:sz w:val="28"/>
          <w:szCs w:val="28"/>
        </w:rPr>
      </w:pPr>
      <w:r>
        <w:rPr>
          <w:rFonts w:ascii="Times New Roman" w:hAnsi="Times New Roman" w:eastAsia="宋体" w:cs="Times New Roman"/>
          <w:color w:val="auto"/>
          <w:sz w:val="28"/>
          <w:szCs w:val="28"/>
        </w:rPr>
        <w:t>《中华人民共和国水污染防治法》（2018.1.1）；</w:t>
      </w:r>
    </w:p>
    <w:p w14:paraId="1F5A3E74">
      <w:pPr>
        <w:pStyle w:val="11"/>
        <w:numPr>
          <w:ilvl w:val="0"/>
          <w:numId w:val="6"/>
        </w:numPr>
        <w:ind w:left="0" w:leftChars="0" w:firstLine="560" w:firstLineChars="200"/>
        <w:jc w:val="both"/>
        <w:rPr>
          <w:rFonts w:ascii="Times New Roman" w:hAnsi="Times New Roman" w:eastAsia="宋体" w:cs="Times New Roman"/>
          <w:b w:val="0"/>
          <w:color w:val="auto"/>
          <w:sz w:val="28"/>
          <w:szCs w:val="28"/>
        </w:rPr>
      </w:pPr>
      <w:r>
        <w:rPr>
          <w:rFonts w:ascii="Times New Roman" w:hAnsi="Times New Roman" w:eastAsia="宋体" w:cs="Times New Roman"/>
          <w:color w:val="auto"/>
          <w:sz w:val="28"/>
          <w:szCs w:val="28"/>
        </w:rPr>
        <w:t>《中华人民共和国城乡规划法》（2019.4.23）；</w:t>
      </w:r>
    </w:p>
    <w:p w14:paraId="2AEFDC2D">
      <w:pPr>
        <w:pStyle w:val="11"/>
        <w:numPr>
          <w:ilvl w:val="0"/>
          <w:numId w:val="6"/>
        </w:numPr>
        <w:ind w:left="0" w:leftChars="0" w:firstLine="560" w:firstLineChars="200"/>
        <w:jc w:val="both"/>
        <w:rPr>
          <w:rFonts w:ascii="Times New Roman" w:hAnsi="Times New Roman" w:eastAsia="宋体" w:cs="Times New Roman"/>
          <w:b w:val="0"/>
          <w:color w:val="auto"/>
          <w:sz w:val="28"/>
          <w:szCs w:val="28"/>
        </w:rPr>
      </w:pPr>
      <w:r>
        <w:rPr>
          <w:rFonts w:ascii="Times New Roman" w:hAnsi="Times New Roman" w:eastAsia="宋体" w:cs="Times New Roman"/>
          <w:color w:val="auto"/>
          <w:sz w:val="28"/>
          <w:szCs w:val="28"/>
        </w:rPr>
        <w:t>《中华人民共和国自然保护区条例》（2017.10.7）；</w:t>
      </w:r>
    </w:p>
    <w:p w14:paraId="45EA8092">
      <w:pPr>
        <w:pStyle w:val="11"/>
        <w:numPr>
          <w:ilvl w:val="0"/>
          <w:numId w:val="6"/>
        </w:numPr>
        <w:ind w:left="0" w:leftChars="0" w:firstLine="560" w:firstLineChars="200"/>
        <w:jc w:val="both"/>
        <w:rPr>
          <w:rFonts w:ascii="Times New Roman" w:hAnsi="Times New Roman" w:eastAsia="宋体" w:cs="Times New Roman"/>
          <w:b w:val="0"/>
          <w:color w:val="auto"/>
          <w:sz w:val="24"/>
          <w:szCs w:val="24"/>
        </w:rPr>
      </w:pPr>
      <w:r>
        <w:rPr>
          <w:rFonts w:ascii="Times New Roman" w:hAnsi="Times New Roman" w:eastAsia="宋体" w:cs="Times New Roman"/>
          <w:color w:val="auto"/>
          <w:sz w:val="28"/>
          <w:szCs w:val="28"/>
        </w:rPr>
        <w:t>《中华人民共和国湿地保护法》（2022.6.1）</w:t>
      </w:r>
      <w:r>
        <w:rPr>
          <w:rFonts w:hint="eastAsia" w:cs="Times New Roman"/>
          <w:color w:val="auto"/>
          <w:sz w:val="28"/>
          <w:szCs w:val="28"/>
          <w:lang w:eastAsia="zh-CN"/>
        </w:rPr>
        <w:t>；</w:t>
      </w:r>
    </w:p>
    <w:p w14:paraId="42832079">
      <w:pPr>
        <w:pStyle w:val="11"/>
        <w:numPr>
          <w:ilvl w:val="0"/>
          <w:numId w:val="6"/>
        </w:numPr>
        <w:ind w:left="0" w:leftChars="0" w:firstLine="560" w:firstLineChars="200"/>
        <w:jc w:val="both"/>
        <w:rPr>
          <w:rFonts w:hint="default" w:ascii="Times New Roman" w:hAnsi="Times New Roman" w:eastAsia="宋体" w:cs="Times New Roman"/>
          <w:color w:val="auto"/>
          <w:sz w:val="28"/>
          <w:szCs w:val="28"/>
          <w:lang w:val="en-US"/>
        </w:rPr>
      </w:pPr>
      <w:r>
        <w:rPr>
          <w:rFonts w:hint="eastAsia" w:ascii="Times New Roman" w:hAnsi="Times New Roman" w:eastAsia="宋体" w:cs="Times New Roman"/>
          <w:color w:val="auto"/>
          <w:sz w:val="28"/>
          <w:szCs w:val="28"/>
          <w:lang w:val="en-US" w:eastAsia="zh-CN"/>
        </w:rPr>
        <w:t>《</w:t>
      </w:r>
      <w:r>
        <w:rPr>
          <w:rFonts w:ascii="Times New Roman" w:hAnsi="Times New Roman" w:eastAsia="宋体" w:cs="Times New Roman"/>
          <w:color w:val="auto"/>
          <w:sz w:val="28"/>
          <w:szCs w:val="28"/>
        </w:rPr>
        <w:t>中华人民共和国</w:t>
      </w:r>
      <w:r>
        <w:rPr>
          <w:rFonts w:hint="eastAsia" w:ascii="Times New Roman" w:hAnsi="Times New Roman" w:eastAsia="宋体" w:cs="Times New Roman"/>
          <w:color w:val="auto"/>
          <w:sz w:val="28"/>
          <w:szCs w:val="28"/>
          <w:lang w:val="en-US" w:eastAsia="zh-CN"/>
        </w:rPr>
        <w:t>土地管理法》（2019.8.26）</w:t>
      </w:r>
    </w:p>
    <w:p w14:paraId="785E6B3D">
      <w:pPr>
        <w:pStyle w:val="4"/>
        <w:numPr>
          <w:ilvl w:val="0"/>
          <w:numId w:val="5"/>
        </w:numPr>
        <w:ind w:left="0" w:leftChars="0" w:firstLine="600" w:firstLineChars="200"/>
        <w:jc w:val="both"/>
        <w:rPr>
          <w:b w:val="0"/>
        </w:rPr>
      </w:pPr>
      <w:bookmarkStart w:id="58" w:name="_Toc28904"/>
      <w:bookmarkStart w:id="59" w:name="_Toc8344"/>
      <w:bookmarkStart w:id="60" w:name="_Toc28928"/>
      <w:bookmarkStart w:id="61" w:name="_Toc25029"/>
      <w:bookmarkStart w:id="62" w:name="_Toc11128"/>
      <w:r>
        <w:t>相关政策文件</w:t>
      </w:r>
      <w:bookmarkEnd w:id="57"/>
      <w:bookmarkEnd w:id="58"/>
      <w:bookmarkEnd w:id="59"/>
      <w:bookmarkEnd w:id="60"/>
      <w:bookmarkEnd w:id="61"/>
      <w:bookmarkEnd w:id="62"/>
      <w:bookmarkStart w:id="63" w:name="_Toc510100681"/>
    </w:p>
    <w:p w14:paraId="003B3CF9">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《生态环境部关于印发〈生态保护红线生态环境监督办法（试行）〉的通知》（国环规生态〔2022〕2号）；</w:t>
      </w:r>
    </w:p>
    <w:p w14:paraId="673B8908">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《中共中央办公厅 国务院办公厅关于加强生态环境分区管控的意见》（2024.3.6）；</w:t>
      </w:r>
    </w:p>
    <w:p w14:paraId="2DED7307">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《自然资源部生态环境部国家林业和草原局关于加强生态保护红线管理的通知（试行）》（自然资发〔2022〕142号）；</w:t>
      </w:r>
    </w:p>
    <w:p w14:paraId="76C9C950">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国家林业和草原局关于印发《国家级自然公园管理办法（试行）》的通知（林保规〔2023〕4号）；</w:t>
      </w:r>
    </w:p>
    <w:p w14:paraId="1D37B324">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环境保护部 国家发展改革委《生态保护红线划定指南》（2017.5）；</w:t>
      </w:r>
    </w:p>
    <w:p w14:paraId="5132747E">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《黑龙江省人民政府关于印发〈黑龙江省国土空间规划（2021—2035 年）〉的通知》（黑政发〔2024〕10号）；</w:t>
      </w:r>
    </w:p>
    <w:p w14:paraId="179406D6">
      <w:pPr>
        <w:pStyle w:val="11"/>
        <w:numPr>
          <w:ilvl w:val="0"/>
          <w:numId w:val="7"/>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黑龙江省林业和草原局《黑龙江省自然保护地整合优化方案》（2023.3）。</w:t>
      </w:r>
    </w:p>
    <w:p w14:paraId="5EBDDC95">
      <w:pPr>
        <w:pStyle w:val="4"/>
        <w:numPr>
          <w:ilvl w:val="0"/>
          <w:numId w:val="5"/>
        </w:numPr>
        <w:ind w:left="0" w:leftChars="0" w:firstLine="600" w:firstLineChars="200"/>
        <w:jc w:val="both"/>
        <w:rPr>
          <w:b w:val="0"/>
        </w:rPr>
      </w:pPr>
      <w:bookmarkStart w:id="64" w:name="_Toc7938"/>
      <w:bookmarkStart w:id="65" w:name="_Toc12945"/>
      <w:bookmarkStart w:id="66" w:name="_Toc5882"/>
      <w:bookmarkStart w:id="67" w:name="_Toc25050"/>
      <w:bookmarkStart w:id="68" w:name="_Toc16408"/>
      <w:r>
        <w:t>地方性法规</w:t>
      </w:r>
      <w:bookmarkEnd w:id="63"/>
      <w:bookmarkEnd w:id="64"/>
      <w:bookmarkEnd w:id="65"/>
      <w:bookmarkEnd w:id="66"/>
      <w:bookmarkEnd w:id="67"/>
      <w:bookmarkEnd w:id="68"/>
      <w:r>
        <w:t xml:space="preserve"> </w:t>
      </w:r>
    </w:p>
    <w:p w14:paraId="0269526F">
      <w:pPr>
        <w:pStyle w:val="11"/>
        <w:numPr>
          <w:ilvl w:val="0"/>
          <w:numId w:val="8"/>
        </w:numPr>
        <w:ind w:left="0" w:leftChars="0" w:firstLine="560" w:firstLineChars="200"/>
        <w:jc w:val="both"/>
        <w:rPr>
          <w:rFonts w:ascii="Times New Roman" w:hAnsi="Times New Roman" w:eastAsia="宋体" w:cs="Times New Roman"/>
          <w:b w:val="0"/>
          <w:color w:val="auto"/>
          <w:sz w:val="28"/>
          <w:szCs w:val="28"/>
        </w:rPr>
      </w:pPr>
      <w:bookmarkStart w:id="69" w:name="_Toc510100682"/>
      <w:r>
        <w:rPr>
          <w:rFonts w:ascii="Times New Roman" w:hAnsi="Times New Roman" w:eastAsia="宋体" w:cs="Times New Roman"/>
          <w:color w:val="auto"/>
          <w:sz w:val="28"/>
          <w:szCs w:val="28"/>
        </w:rPr>
        <w:t>《黑龙江省水产资源繁殖保护条例》（2020.5.6）；</w:t>
      </w:r>
    </w:p>
    <w:p w14:paraId="3B1CA2AB">
      <w:pPr>
        <w:pStyle w:val="11"/>
        <w:numPr>
          <w:ilvl w:val="0"/>
          <w:numId w:val="8"/>
        </w:numPr>
        <w:ind w:left="0" w:leftChars="0" w:firstLine="560" w:firstLineChars="200"/>
        <w:jc w:val="both"/>
        <w:rPr>
          <w:rFonts w:ascii="Times New Roman" w:hAnsi="Times New Roman" w:eastAsia="宋体" w:cs="Times New Roman"/>
          <w:b w:val="0"/>
          <w:color w:val="auto"/>
          <w:sz w:val="28"/>
          <w:szCs w:val="28"/>
        </w:rPr>
      </w:pPr>
      <w:r>
        <w:rPr>
          <w:rFonts w:ascii="Times New Roman" w:hAnsi="Times New Roman" w:eastAsia="宋体" w:cs="Times New Roman"/>
          <w:color w:val="auto"/>
          <w:sz w:val="28"/>
          <w:szCs w:val="28"/>
        </w:rPr>
        <w:t>《黑龙江省实施《渔业捕捞许可管理规定》办法》（2023.5.31）；</w:t>
      </w:r>
    </w:p>
    <w:p w14:paraId="7BFEA71A">
      <w:pPr>
        <w:pStyle w:val="11"/>
        <w:numPr>
          <w:ilvl w:val="0"/>
          <w:numId w:val="8"/>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《黑龙江省土地管理条例》（2023.3）；</w:t>
      </w:r>
    </w:p>
    <w:p w14:paraId="0AF4C461">
      <w:pPr>
        <w:pStyle w:val="11"/>
        <w:numPr>
          <w:ilvl w:val="0"/>
          <w:numId w:val="8"/>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《黑龙江省湿地保护条例》（2016.1）；</w:t>
      </w:r>
    </w:p>
    <w:p w14:paraId="4ED6B194">
      <w:pPr>
        <w:pStyle w:val="11"/>
        <w:numPr>
          <w:ilvl w:val="0"/>
          <w:numId w:val="8"/>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《黑龙江省河道管理条例》（2025.3.27）；</w:t>
      </w:r>
    </w:p>
    <w:p w14:paraId="095A65EA">
      <w:pPr>
        <w:pStyle w:val="11"/>
        <w:numPr>
          <w:ilvl w:val="0"/>
          <w:numId w:val="8"/>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《黑龙江省地方级自然公园管理办法（试行）（黑林草规〔2024〕4号）</w:t>
      </w:r>
      <w:r>
        <w:rPr>
          <w:rFonts w:hint="eastAsia" w:cs="Times New Roman"/>
          <w:sz w:val="28"/>
          <w:szCs w:val="28"/>
          <w:highlight w:val="none"/>
          <w:lang w:eastAsia="zh-CN"/>
        </w:rPr>
        <w:t>；</w:t>
      </w:r>
    </w:p>
    <w:p w14:paraId="6CD4799A">
      <w:pPr>
        <w:pStyle w:val="11"/>
        <w:numPr>
          <w:ilvl w:val="0"/>
          <w:numId w:val="8"/>
        </w:numPr>
        <w:ind w:left="0" w:leftChars="0" w:firstLine="560" w:firstLineChars="200"/>
        <w:jc w:val="both"/>
        <w:rPr>
          <w:rFonts w:ascii="Times New Roman" w:hAnsi="Times New Roman" w:eastAsia="宋体" w:cs="Times New Roman"/>
          <w:b w:val="0"/>
          <w:sz w:val="28"/>
          <w:szCs w:val="28"/>
          <w:highlight w:val="none"/>
        </w:rPr>
      </w:pPr>
      <w:r>
        <w:rPr>
          <w:rFonts w:hint="eastAsia" w:ascii="Times New Roman" w:hAnsi="Times New Roman" w:eastAsia="宋体" w:cs="Times New Roman"/>
          <w:b w:val="0"/>
          <w:sz w:val="28"/>
          <w:szCs w:val="28"/>
          <w:highlight w:val="none"/>
        </w:rPr>
        <w:t>《伊春市国民经济和社会发展第十四个五年规划和二O三五年远景目标纲要》</w:t>
      </w:r>
      <w:r>
        <w:rPr>
          <w:rFonts w:hint="eastAsia" w:cs="Times New Roman"/>
          <w:b w:val="0"/>
          <w:sz w:val="28"/>
          <w:szCs w:val="28"/>
          <w:highlight w:val="none"/>
          <w:lang w:eastAsia="zh-CN"/>
        </w:rPr>
        <w:t>；</w:t>
      </w:r>
    </w:p>
    <w:p w14:paraId="6AAA8F63">
      <w:pPr>
        <w:pStyle w:val="11"/>
        <w:numPr>
          <w:ilvl w:val="0"/>
          <w:numId w:val="8"/>
        </w:numPr>
        <w:ind w:left="0" w:leftChars="0" w:firstLine="560" w:firstLineChars="200"/>
        <w:jc w:val="both"/>
        <w:rPr>
          <w:rFonts w:ascii="Times New Roman" w:hAnsi="Times New Roman" w:eastAsia="宋体" w:cs="Times New Roman"/>
          <w:b w:val="0"/>
          <w:sz w:val="28"/>
          <w:szCs w:val="28"/>
          <w:highlight w:val="none"/>
        </w:rPr>
      </w:pPr>
      <w:r>
        <w:rPr>
          <w:rFonts w:hint="eastAsia" w:ascii="Times New Roman" w:hAnsi="Times New Roman" w:eastAsia="宋体" w:cs="Times New Roman"/>
          <w:b w:val="0"/>
          <w:sz w:val="28"/>
          <w:szCs w:val="28"/>
          <w:highlight w:val="none"/>
        </w:rPr>
        <w:t>《伊春市国民经济和社会发展第十五个五年规划纲要》</w:t>
      </w:r>
      <w:r>
        <w:rPr>
          <w:rFonts w:hint="eastAsia" w:cs="Times New Roman"/>
          <w:b w:val="0"/>
          <w:sz w:val="28"/>
          <w:szCs w:val="28"/>
          <w:highlight w:val="none"/>
          <w:lang w:eastAsia="zh-CN"/>
        </w:rPr>
        <w:t>。</w:t>
      </w:r>
    </w:p>
    <w:p w14:paraId="464E5432">
      <w:pPr>
        <w:pStyle w:val="4"/>
        <w:numPr>
          <w:ilvl w:val="0"/>
          <w:numId w:val="5"/>
        </w:numPr>
        <w:ind w:left="0" w:leftChars="0" w:firstLine="600" w:firstLineChars="200"/>
        <w:jc w:val="both"/>
        <w:rPr>
          <w:b w:val="0"/>
        </w:rPr>
      </w:pPr>
      <w:bookmarkStart w:id="70" w:name="_Toc4959"/>
      <w:bookmarkStart w:id="71" w:name="_Toc14734"/>
      <w:bookmarkStart w:id="72" w:name="_Toc9544"/>
      <w:bookmarkStart w:id="73" w:name="_Toc31264"/>
      <w:bookmarkStart w:id="74" w:name="_Toc13099"/>
      <w:r>
        <w:t>部门规章</w:t>
      </w:r>
      <w:bookmarkEnd w:id="69"/>
      <w:bookmarkEnd w:id="70"/>
      <w:bookmarkEnd w:id="71"/>
      <w:bookmarkEnd w:id="72"/>
      <w:bookmarkEnd w:id="73"/>
      <w:bookmarkEnd w:id="74"/>
    </w:p>
    <w:p w14:paraId="52E84EF4">
      <w:pPr>
        <w:pStyle w:val="11"/>
        <w:numPr>
          <w:ilvl w:val="0"/>
          <w:numId w:val="9"/>
        </w:numPr>
        <w:ind w:left="0" w:leftChars="0" w:firstLine="560" w:firstLineChars="200"/>
        <w:jc w:val="both"/>
        <w:rPr>
          <w:rFonts w:ascii="Times New Roman" w:hAnsi="Times New Roman" w:eastAsia="宋体" w:cs="Times New Roman"/>
          <w:b w:val="0"/>
          <w:sz w:val="28"/>
          <w:szCs w:val="28"/>
        </w:rPr>
      </w:pPr>
      <w:bookmarkStart w:id="75" w:name="_Toc510100683"/>
      <w:r>
        <w:rPr>
          <w:rFonts w:ascii="Times New Roman" w:hAnsi="Times New Roman" w:eastAsia="宋体" w:cs="Times New Roman"/>
          <w:sz w:val="28"/>
          <w:szCs w:val="28"/>
        </w:rPr>
        <w:t>《水域滩涂养殖发证登记办法》（2010.7）；</w:t>
      </w:r>
    </w:p>
    <w:p w14:paraId="0FCF9CEC">
      <w:pPr>
        <w:pStyle w:val="11"/>
        <w:numPr>
          <w:ilvl w:val="0"/>
          <w:numId w:val="9"/>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《水产养殖质量安全管理规定》（2003.9）。</w:t>
      </w:r>
    </w:p>
    <w:p w14:paraId="0A519789">
      <w:pPr>
        <w:pStyle w:val="4"/>
        <w:numPr>
          <w:ilvl w:val="0"/>
          <w:numId w:val="5"/>
        </w:numPr>
        <w:ind w:left="0" w:leftChars="0" w:firstLine="600" w:firstLineChars="200"/>
        <w:jc w:val="both"/>
        <w:rPr>
          <w:b w:val="0"/>
        </w:rPr>
      </w:pPr>
      <w:bookmarkStart w:id="76" w:name="_Toc11995"/>
      <w:bookmarkStart w:id="77" w:name="_Toc9858"/>
      <w:bookmarkStart w:id="78" w:name="_Toc32443"/>
      <w:bookmarkStart w:id="79" w:name="_Toc13645"/>
      <w:bookmarkStart w:id="80" w:name="_Toc5686"/>
      <w:r>
        <w:t>规范性文件</w:t>
      </w:r>
      <w:bookmarkEnd w:id="75"/>
      <w:bookmarkEnd w:id="76"/>
      <w:bookmarkEnd w:id="77"/>
      <w:bookmarkEnd w:id="78"/>
      <w:bookmarkEnd w:id="79"/>
      <w:bookmarkEnd w:id="80"/>
    </w:p>
    <w:p w14:paraId="7C071300">
      <w:pPr>
        <w:pStyle w:val="11"/>
        <w:numPr>
          <w:ilvl w:val="0"/>
          <w:numId w:val="10"/>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w:t>
      </w:r>
      <w:r>
        <w:rPr>
          <w:rFonts w:hint="eastAsia" w:cs="Times New Roman"/>
          <w:sz w:val="28"/>
          <w:szCs w:val="28"/>
          <w:highlight w:val="none"/>
          <w:lang w:eastAsia="zh-CN"/>
        </w:rPr>
        <w:t>“</w:t>
      </w:r>
      <w:r>
        <w:rPr>
          <w:rFonts w:ascii="Times New Roman" w:hAnsi="Times New Roman" w:eastAsia="宋体" w:cs="Times New Roman"/>
          <w:sz w:val="28"/>
          <w:szCs w:val="28"/>
          <w:highlight w:val="none"/>
        </w:rPr>
        <w:t>十四五</w:t>
      </w:r>
      <w:r>
        <w:rPr>
          <w:rFonts w:hint="eastAsia" w:cs="Times New Roman"/>
          <w:sz w:val="28"/>
          <w:szCs w:val="28"/>
          <w:highlight w:val="none"/>
          <w:lang w:eastAsia="zh-CN"/>
        </w:rPr>
        <w:t>”</w:t>
      </w:r>
      <w:r>
        <w:rPr>
          <w:rFonts w:ascii="Times New Roman" w:hAnsi="Times New Roman" w:eastAsia="宋体" w:cs="Times New Roman"/>
          <w:sz w:val="28"/>
          <w:szCs w:val="28"/>
          <w:highlight w:val="none"/>
        </w:rPr>
        <w:t>全国渔业发展规划》（农渔发〔2021〕28号）；</w:t>
      </w:r>
    </w:p>
    <w:p w14:paraId="562B88AA">
      <w:pPr>
        <w:pStyle w:val="11"/>
        <w:numPr>
          <w:ilvl w:val="0"/>
          <w:numId w:val="10"/>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《养殖水域滩涂规划编制工作规范》（2016.12）；</w:t>
      </w:r>
    </w:p>
    <w:p w14:paraId="5D0EAF55">
      <w:pPr>
        <w:pStyle w:val="11"/>
        <w:numPr>
          <w:ilvl w:val="0"/>
          <w:numId w:val="10"/>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《养殖水域滩涂规划编制大纲》（2016.12）；</w:t>
      </w:r>
    </w:p>
    <w:p w14:paraId="02C73FC1">
      <w:pPr>
        <w:pStyle w:val="11"/>
        <w:numPr>
          <w:ilvl w:val="0"/>
          <w:numId w:val="10"/>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《关于修订养殖水域滩涂规划的通知》（黑农厅函〔2024〕975号）。</w:t>
      </w:r>
    </w:p>
    <w:p w14:paraId="659C3229">
      <w:pPr>
        <w:pStyle w:val="4"/>
        <w:numPr>
          <w:ilvl w:val="0"/>
          <w:numId w:val="5"/>
        </w:numPr>
        <w:ind w:left="0" w:leftChars="0" w:firstLine="600" w:firstLineChars="200"/>
        <w:jc w:val="both"/>
        <w:rPr>
          <w:b w:val="0"/>
        </w:rPr>
      </w:pPr>
      <w:bookmarkStart w:id="81" w:name="_Toc22500"/>
      <w:bookmarkStart w:id="82" w:name="_Toc9202"/>
      <w:bookmarkStart w:id="83" w:name="_Toc29217"/>
      <w:bookmarkStart w:id="84" w:name="_Toc367"/>
      <w:bookmarkStart w:id="85" w:name="_Toc17859"/>
      <w:r>
        <w:t>相关基础资料</w:t>
      </w:r>
      <w:bookmarkEnd w:id="81"/>
      <w:bookmarkEnd w:id="82"/>
      <w:bookmarkEnd w:id="83"/>
      <w:bookmarkEnd w:id="84"/>
      <w:bookmarkEnd w:id="85"/>
    </w:p>
    <w:p w14:paraId="45E354DC">
      <w:pPr>
        <w:pStyle w:val="11"/>
        <w:numPr>
          <w:ilvl w:val="0"/>
          <w:numId w:val="11"/>
        </w:numPr>
        <w:ind w:left="0" w:leftChars="0" w:firstLine="560" w:firstLineChars="200"/>
        <w:jc w:val="both"/>
        <w:rPr>
          <w:rFonts w:ascii="Times New Roman" w:hAnsi="Times New Roman" w:eastAsia="宋体" w:cs="Times New Roman"/>
          <w:b w:val="0"/>
          <w:sz w:val="28"/>
          <w:szCs w:val="28"/>
          <w:highlight w:val="none"/>
        </w:rPr>
      </w:pPr>
      <w:r>
        <w:rPr>
          <w:rFonts w:ascii="Times New Roman" w:hAnsi="Times New Roman" w:eastAsia="宋体" w:cs="Times New Roman"/>
          <w:sz w:val="28"/>
          <w:szCs w:val="28"/>
          <w:highlight w:val="none"/>
        </w:rPr>
        <w:t>《伊春市养殖水域滩涂规划（2018—2030年）》；</w:t>
      </w:r>
    </w:p>
    <w:p w14:paraId="764EB0E5">
      <w:pPr>
        <w:pStyle w:val="11"/>
        <w:numPr>
          <w:ilvl w:val="0"/>
          <w:numId w:val="11"/>
        </w:numPr>
        <w:ind w:left="0" w:leftChars="0" w:firstLine="560" w:firstLineChars="200"/>
        <w:jc w:val="both"/>
        <w:rPr>
          <w:rFonts w:ascii="Times New Roman" w:hAnsi="Times New Roman" w:eastAsia="宋体" w:cs="Times New Roman"/>
          <w:b w:val="0"/>
          <w:color w:val="auto"/>
          <w:sz w:val="28"/>
          <w:szCs w:val="28"/>
          <w:highlight w:val="none"/>
        </w:rPr>
      </w:pPr>
      <w:r>
        <w:rPr>
          <w:rFonts w:ascii="Times New Roman" w:hAnsi="Times New Roman" w:eastAsia="宋体" w:cs="Times New Roman"/>
          <w:color w:val="auto"/>
          <w:sz w:val="28"/>
          <w:szCs w:val="28"/>
          <w:highlight w:val="none"/>
        </w:rPr>
        <w:t>《伊春市国土空间总体规划（2021—2035年）》</w:t>
      </w:r>
      <w:r>
        <w:rPr>
          <w:rFonts w:hint="eastAsia" w:cs="Times New Roman"/>
          <w:color w:val="auto"/>
          <w:sz w:val="28"/>
          <w:szCs w:val="28"/>
          <w:highlight w:val="none"/>
          <w:lang w:eastAsia="zh-CN"/>
        </w:rPr>
        <w:t>；</w:t>
      </w:r>
    </w:p>
    <w:p w14:paraId="4D71A829">
      <w:pPr>
        <w:pStyle w:val="11"/>
        <w:numPr>
          <w:ilvl w:val="0"/>
          <w:numId w:val="11"/>
        </w:numPr>
        <w:ind w:left="0" w:leftChars="0" w:firstLine="560" w:firstLineChars="200"/>
        <w:jc w:val="both"/>
        <w:rPr>
          <w:rFonts w:ascii="Times New Roman" w:hAnsi="Times New Roman" w:eastAsia="宋体" w:cs="Times New Roman"/>
          <w:b w:val="0"/>
          <w:color w:val="auto"/>
          <w:sz w:val="28"/>
          <w:szCs w:val="28"/>
          <w:highlight w:val="none"/>
        </w:rPr>
      </w:pPr>
      <w:r>
        <w:rPr>
          <w:rFonts w:hint="eastAsia" w:cs="Times New Roman"/>
          <w:b w:val="0"/>
          <w:color w:val="auto"/>
          <w:sz w:val="28"/>
          <w:szCs w:val="28"/>
          <w:highlight w:val="none"/>
          <w:lang w:eastAsia="zh-CN"/>
        </w:rPr>
        <w:t>友好区</w:t>
      </w:r>
      <w:r>
        <w:rPr>
          <w:rFonts w:hint="eastAsia" w:ascii="Times New Roman" w:hAnsi="Times New Roman" w:eastAsia="宋体" w:cs="Times New Roman"/>
          <w:b w:val="0"/>
          <w:color w:val="auto"/>
          <w:sz w:val="28"/>
          <w:szCs w:val="28"/>
          <w:highlight w:val="none"/>
        </w:rPr>
        <w:t>核实处置后耕地保护目标</w:t>
      </w:r>
      <w:r>
        <w:rPr>
          <w:rFonts w:hint="eastAsia" w:cs="Times New Roman"/>
          <w:b w:val="0"/>
          <w:color w:val="auto"/>
          <w:sz w:val="28"/>
          <w:szCs w:val="28"/>
          <w:highlight w:val="none"/>
          <w:lang w:val="en-US" w:eastAsia="zh-CN"/>
        </w:rPr>
        <w:t>数据；</w:t>
      </w:r>
    </w:p>
    <w:p w14:paraId="389FA366">
      <w:pPr>
        <w:pStyle w:val="11"/>
        <w:numPr>
          <w:ilvl w:val="0"/>
          <w:numId w:val="11"/>
        </w:numPr>
        <w:ind w:left="0" w:leftChars="0" w:firstLine="560" w:firstLineChars="200"/>
        <w:jc w:val="both"/>
        <w:rPr>
          <w:rFonts w:ascii="Times New Roman" w:hAnsi="Times New Roman" w:eastAsia="宋体" w:cs="Times New Roman"/>
          <w:b w:val="0"/>
          <w:color w:val="auto"/>
          <w:sz w:val="28"/>
          <w:szCs w:val="28"/>
          <w:highlight w:val="none"/>
        </w:rPr>
      </w:pPr>
      <w:r>
        <w:rPr>
          <w:rFonts w:hint="eastAsia" w:cs="Times New Roman"/>
          <w:b w:val="0"/>
          <w:color w:val="auto"/>
          <w:sz w:val="28"/>
          <w:szCs w:val="28"/>
          <w:highlight w:val="none"/>
          <w:lang w:eastAsia="zh-CN"/>
        </w:rPr>
        <w:t>友好区</w:t>
      </w:r>
      <w:r>
        <w:rPr>
          <w:rFonts w:hint="eastAsia" w:ascii="Times New Roman" w:hAnsi="Times New Roman" w:eastAsia="宋体" w:cs="Times New Roman"/>
          <w:b w:val="0"/>
          <w:color w:val="auto"/>
          <w:sz w:val="28"/>
          <w:szCs w:val="28"/>
          <w:highlight w:val="none"/>
        </w:rPr>
        <w:t>永久基本农田数据</w:t>
      </w:r>
      <w:r>
        <w:rPr>
          <w:rFonts w:hint="eastAsia" w:cs="Times New Roman"/>
          <w:b w:val="0"/>
          <w:color w:val="auto"/>
          <w:sz w:val="28"/>
          <w:szCs w:val="28"/>
          <w:highlight w:val="none"/>
          <w:lang w:eastAsia="zh-CN"/>
        </w:rPr>
        <w:t>；</w:t>
      </w:r>
    </w:p>
    <w:p w14:paraId="233219D4">
      <w:pPr>
        <w:pStyle w:val="11"/>
        <w:numPr>
          <w:ilvl w:val="0"/>
          <w:numId w:val="11"/>
        </w:numPr>
        <w:ind w:left="0" w:leftChars="0" w:firstLine="560" w:firstLineChars="200"/>
        <w:jc w:val="both"/>
        <w:rPr>
          <w:rFonts w:ascii="Times New Roman" w:hAnsi="Times New Roman" w:eastAsia="宋体" w:cs="Times New Roman"/>
          <w:b w:val="0"/>
          <w:color w:val="auto"/>
          <w:sz w:val="28"/>
          <w:szCs w:val="28"/>
          <w:highlight w:val="none"/>
        </w:rPr>
      </w:pPr>
      <w:r>
        <w:rPr>
          <w:rFonts w:hint="eastAsia" w:cs="Times New Roman"/>
          <w:b w:val="0"/>
          <w:color w:val="auto"/>
          <w:sz w:val="28"/>
          <w:szCs w:val="28"/>
          <w:highlight w:val="none"/>
          <w:lang w:val="en-US" w:eastAsia="zh-CN"/>
        </w:rPr>
        <w:t>2024年友好区国土变更调查数据；</w:t>
      </w:r>
    </w:p>
    <w:p w14:paraId="65CB7BBA">
      <w:pPr>
        <w:pStyle w:val="11"/>
        <w:numPr>
          <w:ilvl w:val="0"/>
          <w:numId w:val="11"/>
        </w:numPr>
        <w:ind w:left="0" w:leftChars="0" w:firstLine="560" w:firstLineChars="200"/>
        <w:jc w:val="both"/>
        <w:rPr>
          <w:rFonts w:ascii="Times New Roman" w:hAnsi="Times New Roman" w:eastAsia="宋体" w:cs="Times New Roman"/>
          <w:b w:val="0"/>
          <w:color w:val="auto"/>
          <w:sz w:val="28"/>
          <w:szCs w:val="28"/>
          <w:highlight w:val="none"/>
        </w:rPr>
      </w:pPr>
      <w:r>
        <w:rPr>
          <w:rFonts w:hint="eastAsia" w:cs="Times New Roman"/>
          <w:b w:val="0"/>
          <w:color w:val="auto"/>
          <w:sz w:val="28"/>
          <w:szCs w:val="28"/>
          <w:highlight w:val="none"/>
          <w:lang w:eastAsia="zh-CN"/>
        </w:rPr>
        <w:t>友好区</w:t>
      </w:r>
      <w:r>
        <w:rPr>
          <w:rFonts w:hint="eastAsia" w:cs="Times New Roman"/>
          <w:b w:val="0"/>
          <w:color w:val="auto"/>
          <w:sz w:val="28"/>
          <w:szCs w:val="28"/>
          <w:highlight w:val="none"/>
          <w:lang w:val="en-US" w:eastAsia="zh-CN"/>
        </w:rPr>
        <w:t>城镇开发边界及生态保护红线数据。</w:t>
      </w:r>
    </w:p>
    <w:p w14:paraId="68A3F9AE">
      <w:pPr>
        <w:pStyle w:val="3"/>
        <w:numPr>
          <w:ilvl w:val="0"/>
          <w:numId w:val="2"/>
        </w:numPr>
        <w:ind w:left="0" w:leftChars="0" w:firstLine="600" w:firstLineChars="200"/>
        <w:jc w:val="both"/>
        <w:rPr>
          <w:b w:val="0"/>
        </w:rPr>
      </w:pPr>
      <w:bookmarkStart w:id="86" w:name="_Toc8709"/>
      <w:bookmarkStart w:id="87" w:name="_Toc4703"/>
      <w:bookmarkStart w:id="88" w:name="_Toc14339"/>
      <w:bookmarkStart w:id="89" w:name="_Toc12830"/>
      <w:bookmarkStart w:id="90" w:name="_Toc9129"/>
      <w:bookmarkStart w:id="91" w:name="_Toc7126"/>
      <w:bookmarkStart w:id="92" w:name="_Toc4348"/>
      <w:bookmarkStart w:id="93" w:name="_Toc21219"/>
      <w:bookmarkStart w:id="94" w:name="_Toc30393"/>
      <w:r>
        <w:t>目标任务</w:t>
      </w:r>
      <w:bookmarkEnd w:id="86"/>
      <w:bookmarkEnd w:id="87"/>
      <w:bookmarkEnd w:id="88"/>
      <w:bookmarkEnd w:id="89"/>
      <w:bookmarkEnd w:id="90"/>
      <w:bookmarkEnd w:id="91"/>
      <w:bookmarkEnd w:id="92"/>
      <w:bookmarkEnd w:id="93"/>
      <w:bookmarkEnd w:id="94"/>
    </w:p>
    <w:p w14:paraId="363B3323">
      <w:pPr>
        <w:pStyle w:val="4"/>
        <w:numPr>
          <w:ilvl w:val="0"/>
          <w:numId w:val="12"/>
        </w:numPr>
        <w:ind w:left="0" w:leftChars="0" w:firstLine="600" w:firstLineChars="200"/>
        <w:jc w:val="both"/>
        <w:rPr>
          <w:b w:val="0"/>
        </w:rPr>
      </w:pPr>
      <w:bookmarkStart w:id="95" w:name="_Toc30889"/>
      <w:bookmarkStart w:id="96" w:name="_Toc15017"/>
      <w:bookmarkStart w:id="97" w:name="_Toc31600"/>
      <w:bookmarkStart w:id="98" w:name="_Toc24358"/>
      <w:bookmarkStart w:id="99" w:name="_Toc32038"/>
      <w:r>
        <w:t>规划期限</w:t>
      </w:r>
      <w:bookmarkEnd w:id="95"/>
      <w:bookmarkEnd w:id="96"/>
      <w:bookmarkEnd w:id="97"/>
      <w:bookmarkEnd w:id="98"/>
      <w:bookmarkEnd w:id="99"/>
    </w:p>
    <w:p w14:paraId="4DBCBD79">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本规划</w:t>
      </w:r>
      <w:r>
        <w:rPr>
          <w:rFonts w:hint="eastAsia" w:cs="Times New Roman"/>
          <w:sz w:val="28"/>
          <w:szCs w:val="28"/>
          <w:lang w:val="en-US" w:eastAsia="zh-CN"/>
        </w:rPr>
        <w:t>基期年为2024年，规划</w:t>
      </w:r>
      <w:r>
        <w:rPr>
          <w:rFonts w:ascii="Times New Roman" w:hAnsi="Times New Roman" w:eastAsia="宋体" w:cs="Times New Roman"/>
          <w:sz w:val="28"/>
          <w:szCs w:val="28"/>
        </w:rPr>
        <w:t>期限为20</w:t>
      </w:r>
      <w:r>
        <w:rPr>
          <w:rFonts w:hint="eastAsia" w:cs="Times New Roman"/>
          <w:sz w:val="28"/>
          <w:szCs w:val="28"/>
          <w:lang w:val="en-US" w:eastAsia="zh-CN"/>
        </w:rPr>
        <w:t>25</w:t>
      </w:r>
      <w:r>
        <w:rPr>
          <w:rFonts w:ascii="Times New Roman" w:hAnsi="Times New Roman" w:eastAsia="宋体" w:cs="Times New Roman"/>
          <w:sz w:val="28"/>
          <w:szCs w:val="28"/>
        </w:rPr>
        <w:t>至2030年。</w:t>
      </w:r>
    </w:p>
    <w:p w14:paraId="7B9FD67D">
      <w:pPr>
        <w:pStyle w:val="4"/>
        <w:numPr>
          <w:ilvl w:val="0"/>
          <w:numId w:val="12"/>
        </w:numPr>
        <w:ind w:left="0" w:leftChars="0" w:firstLine="600" w:firstLineChars="200"/>
        <w:jc w:val="both"/>
        <w:rPr>
          <w:b w:val="0"/>
        </w:rPr>
      </w:pPr>
      <w:bookmarkStart w:id="100" w:name="_Toc22711"/>
      <w:bookmarkStart w:id="101" w:name="_Toc948"/>
      <w:bookmarkStart w:id="102" w:name="_Toc25402"/>
      <w:bookmarkStart w:id="103" w:name="_Toc17098"/>
      <w:bookmarkStart w:id="104" w:name="_Toc12983"/>
      <w:r>
        <w:t>规划目标</w:t>
      </w:r>
      <w:bookmarkEnd w:id="100"/>
      <w:bookmarkEnd w:id="101"/>
      <w:bookmarkEnd w:id="102"/>
      <w:bookmarkEnd w:id="103"/>
      <w:bookmarkEnd w:id="104"/>
    </w:p>
    <w:p w14:paraId="63E3C2C3">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此次《规划》修订的目标是养殖水域滩涂功能区划符合《国土空间规划》的要求，与整合后的自然保护地相关数据相契合，实现全</w:t>
      </w:r>
      <w:r>
        <w:rPr>
          <w:rFonts w:hint="eastAsia" w:cs="Times New Roman"/>
          <w:sz w:val="28"/>
          <w:szCs w:val="28"/>
          <w:lang w:eastAsia="zh-CN"/>
        </w:rPr>
        <w:t>区</w:t>
      </w:r>
      <w:r>
        <w:rPr>
          <w:rFonts w:ascii="Times New Roman" w:hAnsi="Times New Roman" w:eastAsia="宋体" w:cs="Times New Roman"/>
          <w:sz w:val="28"/>
          <w:szCs w:val="28"/>
        </w:rPr>
        <w:t>范围内水域滩涂的科学规划和全覆盖。根据《国土空间规划》及国土调查数据，准确掌握水域滩涂的具体数据信息，并根据修订整改结果编制相关成果，确保《规划》的科学性和可操作性。</w:t>
      </w:r>
    </w:p>
    <w:p w14:paraId="5228FE13">
      <w:pPr>
        <w:pStyle w:val="5"/>
        <w:numPr>
          <w:ilvl w:val="0"/>
          <w:numId w:val="13"/>
        </w:numPr>
        <w:ind w:left="0" w:leftChars="0" w:firstLine="560" w:firstLineChars="200"/>
        <w:jc w:val="both"/>
        <w:rPr>
          <w:b w:val="0"/>
        </w:rPr>
      </w:pPr>
      <w:r>
        <w:t>理顺《规划》与《国土空间规划》的关系，确保功能区划符合要求。</w:t>
      </w:r>
    </w:p>
    <w:p w14:paraId="1EF92A60">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作为下级规划，功能区划必须与《国土空间规划》保持一致。首先，要全面梳理《规划》中的所有内容，调整与上级规划有冲突或矛盾的部分。认真分析辨别有助于规划部门明确修订方向，确保水域滩涂功能区划完全符合《国土空间规划》要求。</w:t>
      </w:r>
    </w:p>
    <w:p w14:paraId="73930029">
      <w:pPr>
        <w:pStyle w:val="5"/>
        <w:numPr>
          <w:ilvl w:val="0"/>
          <w:numId w:val="13"/>
        </w:numPr>
        <w:ind w:left="0" w:leftChars="0" w:firstLine="560" w:firstLineChars="200"/>
        <w:jc w:val="both"/>
        <w:rPr>
          <w:b w:val="0"/>
        </w:rPr>
      </w:pPr>
      <w:r>
        <w:t>与整合后的自然保护地有机衔接，功能区划数据完全契合。</w:t>
      </w:r>
    </w:p>
    <w:p w14:paraId="3790F8E5">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《规划》修订涉及自然保护地的功能区划，调整相关内容，使涉及自然保护地的养殖水域滩涂规划数据与整合后的自然保护地数据一致。涉及自然保护地的区划数据亦应与整合后的自然保护地保持一致。</w:t>
      </w:r>
    </w:p>
    <w:p w14:paraId="677DEFC8">
      <w:pPr>
        <w:pStyle w:val="5"/>
        <w:numPr>
          <w:ilvl w:val="0"/>
          <w:numId w:val="13"/>
        </w:numPr>
        <w:ind w:left="0" w:leftChars="0" w:firstLine="560" w:firstLineChars="200"/>
        <w:jc w:val="both"/>
        <w:rPr>
          <w:b w:val="0"/>
        </w:rPr>
      </w:pPr>
      <w:r>
        <w:t>做到应划尽划，使《规划》真正做到全覆盖。</w:t>
      </w:r>
    </w:p>
    <w:p w14:paraId="1FF350BF">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上一轮《规划》编制时，农垦、森工系统改革尚未完成，其所属水域滩涂未被全部纳入《规划》。随着农垦和森工改制完成，此次修订要将原属农垦、森工系统的水域滩涂一并纳入属地《规划》修订范围，并按照其所属性质和类型，科学划定禁止养殖、限制养殖及养殖功能区。</w:t>
      </w:r>
    </w:p>
    <w:p w14:paraId="212C916D">
      <w:pPr>
        <w:pStyle w:val="5"/>
        <w:numPr>
          <w:ilvl w:val="0"/>
          <w:numId w:val="13"/>
        </w:numPr>
        <w:ind w:left="0" w:leftChars="0" w:firstLine="560" w:firstLineChars="200"/>
        <w:jc w:val="both"/>
        <w:rPr>
          <w:b w:val="0"/>
        </w:rPr>
      </w:pPr>
      <w:r>
        <w:t>修订的《规划》将利用国土空间规划及国土三调的数据及矢量图表，补全功能区信息数据。</w:t>
      </w:r>
    </w:p>
    <w:p w14:paraId="4C7AAD1A">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此次《规划》修订工作中，要积极与相关部门协调沟通，充分利用国土空间规划及第三次国土调查（国土三调）工具和数据，将其应用于《规划》的修订过程中。按照“统一底图、统一标准、统一规划、统一平台”的要求，应努力提高空间治理的数字化水平，确保《规划》的科学性和可操作性。要积极争取利用本级的国土空间规划工具和数据完成此次修订工作，确保数据的准确性和规划的科学性。这不仅将提高属地的数字化管理水平，还将为未来的水产养殖和生态保护提供更加可靠的基础数据支撑。</w:t>
      </w:r>
    </w:p>
    <w:p w14:paraId="65DA43E3">
      <w:pPr>
        <w:pStyle w:val="4"/>
        <w:numPr>
          <w:ilvl w:val="0"/>
          <w:numId w:val="12"/>
        </w:numPr>
        <w:ind w:left="0" w:leftChars="0" w:firstLine="600" w:firstLineChars="200"/>
        <w:jc w:val="both"/>
        <w:rPr>
          <w:b w:val="0"/>
        </w:rPr>
      </w:pPr>
      <w:bookmarkStart w:id="105" w:name="_Toc7930"/>
      <w:bookmarkStart w:id="106" w:name="_Toc10264"/>
      <w:bookmarkStart w:id="107" w:name="_Toc3071"/>
      <w:bookmarkStart w:id="108" w:name="_Toc21655"/>
      <w:bookmarkStart w:id="109" w:name="_Toc17274"/>
      <w:r>
        <w:t>重点任务</w:t>
      </w:r>
      <w:bookmarkEnd w:id="105"/>
      <w:bookmarkEnd w:id="106"/>
      <w:bookmarkEnd w:id="107"/>
      <w:bookmarkEnd w:id="108"/>
      <w:bookmarkEnd w:id="109"/>
    </w:p>
    <w:p w14:paraId="730BE7F4">
      <w:pPr>
        <w:pStyle w:val="11"/>
        <w:ind w:left="0" w:leftChars="0" w:firstLine="560" w:firstLineChars="200"/>
        <w:jc w:val="both"/>
        <w:rPr>
          <w:rFonts w:ascii="Times New Roman" w:hAnsi="Times New Roman" w:eastAsia="宋体" w:cs="Times New Roman"/>
          <w:sz w:val="28"/>
          <w:szCs w:val="28"/>
          <w:highlight w:val="none"/>
        </w:rPr>
      </w:pPr>
      <w:r>
        <w:rPr>
          <w:rFonts w:ascii="Times New Roman" w:hAnsi="Times New Roman" w:eastAsia="宋体" w:cs="Times New Roman"/>
          <w:sz w:val="28"/>
          <w:szCs w:val="28"/>
          <w:highlight w:val="none"/>
        </w:rPr>
        <w:t>科学划定各类功能区，合理规划布局；调整养殖品种结构，发展名优鱼类；完成基础设施改造，提升养殖技术水平，重视质量安全，加强示范引领；开展稻渔综合种养，促进循环经济发展；打造休闲渔业、节能降耗生态渔业、鱼米之乡等，促进产业融合发展，加强水产养殖管理，控制环境污染影响。</w:t>
      </w:r>
    </w:p>
    <w:p w14:paraId="1F227FF2">
      <w:pPr>
        <w:pStyle w:val="3"/>
        <w:numPr>
          <w:ilvl w:val="0"/>
          <w:numId w:val="2"/>
        </w:numPr>
        <w:ind w:left="0" w:leftChars="0" w:firstLine="600" w:firstLineChars="200"/>
        <w:jc w:val="both"/>
        <w:rPr>
          <w:b w:val="0"/>
        </w:rPr>
      </w:pPr>
      <w:bookmarkStart w:id="110" w:name="_Toc21391"/>
      <w:bookmarkStart w:id="111" w:name="_Toc12584"/>
      <w:bookmarkStart w:id="112" w:name="_Toc20041"/>
      <w:bookmarkStart w:id="113" w:name="_Toc12763"/>
      <w:bookmarkStart w:id="114" w:name="_Toc1913"/>
      <w:bookmarkStart w:id="115" w:name="_Toc26249"/>
      <w:bookmarkStart w:id="116" w:name="_Toc6310"/>
      <w:bookmarkStart w:id="117" w:name="_Toc22710"/>
      <w:bookmarkStart w:id="118" w:name="_Toc9758"/>
      <w:r>
        <w:t>规划的基本原则</w:t>
      </w:r>
      <w:bookmarkEnd w:id="110"/>
      <w:bookmarkEnd w:id="111"/>
      <w:bookmarkEnd w:id="112"/>
      <w:bookmarkEnd w:id="113"/>
      <w:bookmarkEnd w:id="114"/>
      <w:bookmarkEnd w:id="115"/>
      <w:bookmarkEnd w:id="116"/>
      <w:bookmarkEnd w:id="117"/>
      <w:bookmarkEnd w:id="118"/>
    </w:p>
    <w:p w14:paraId="5309FA0C">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 xml:space="preserve">本次《规划》修订应遵循以下原则。 </w:t>
      </w:r>
    </w:p>
    <w:p w14:paraId="68B01668">
      <w:pPr>
        <w:keepNext/>
        <w:keepLines/>
        <w:pageBreakBefore w:val="0"/>
        <w:widowControl w:val="0"/>
        <w:numPr>
          <w:ilvl w:val="0"/>
          <w:numId w:val="14"/>
        </w:numPr>
        <w:kinsoku/>
        <w:wordWrap/>
        <w:overflowPunct/>
        <w:topLinePunct w:val="0"/>
        <w:autoSpaceDE/>
        <w:autoSpaceDN/>
        <w:bidi w:val="0"/>
        <w:adjustRightInd w:val="0"/>
        <w:snapToGrid/>
        <w:ind w:left="0" w:leftChars="0" w:firstLine="560" w:firstLineChars="200"/>
        <w:jc w:val="both"/>
        <w:textAlignment w:val="auto"/>
        <w:outlineLvl w:val="9"/>
        <w:rPr>
          <w:b w:val="0"/>
        </w:rPr>
      </w:pPr>
      <w:bookmarkStart w:id="119" w:name="_Toc6159"/>
      <w:bookmarkStart w:id="120" w:name="_Toc4274"/>
      <w:r>
        <w:t>坚持总体协调，横向衔接的原则</w:t>
      </w:r>
      <w:bookmarkEnd w:id="119"/>
      <w:bookmarkEnd w:id="120"/>
    </w:p>
    <w:p w14:paraId="4DE4279A">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 xml:space="preserve">在《国土空间规划》的框架下进行，确保两者之间的协调契合。同时，要与近年来发布的相关规划及自然保护地整合成果紧密衔接，避免规划之间的重叠与矛盾，推动区域内的全方位协调发展。 </w:t>
      </w:r>
    </w:p>
    <w:p w14:paraId="1AF385AB">
      <w:pPr>
        <w:keepNext/>
        <w:keepLines/>
        <w:pageBreakBefore w:val="0"/>
        <w:widowControl w:val="0"/>
        <w:numPr>
          <w:ilvl w:val="0"/>
          <w:numId w:val="14"/>
        </w:numPr>
        <w:kinsoku/>
        <w:wordWrap/>
        <w:overflowPunct/>
        <w:topLinePunct w:val="0"/>
        <w:autoSpaceDE/>
        <w:autoSpaceDN/>
        <w:bidi w:val="0"/>
        <w:adjustRightInd w:val="0"/>
        <w:snapToGrid/>
        <w:ind w:left="0" w:leftChars="0" w:firstLine="560" w:firstLineChars="200"/>
        <w:jc w:val="both"/>
        <w:textAlignment w:val="auto"/>
        <w:outlineLvl w:val="9"/>
        <w:rPr>
          <w:b w:val="0"/>
        </w:rPr>
      </w:pPr>
      <w:bookmarkStart w:id="121" w:name="_Toc25610"/>
      <w:bookmarkStart w:id="122" w:name="_Toc2275"/>
      <w:r>
        <w:t>坚持应划尽划，全面覆盖的原则</w:t>
      </w:r>
      <w:bookmarkEnd w:id="121"/>
      <w:bookmarkEnd w:id="122"/>
      <w:r>
        <w:t xml:space="preserve"> </w:t>
      </w:r>
    </w:p>
    <w:p w14:paraId="3FBCE96E">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囊括</w:t>
      </w:r>
      <w:r>
        <w:rPr>
          <w:rFonts w:hint="eastAsia" w:cs="Times New Roman"/>
          <w:sz w:val="28"/>
          <w:szCs w:val="28"/>
          <w:lang w:eastAsia="zh-CN"/>
        </w:rPr>
        <w:t>友好区</w:t>
      </w:r>
      <w:r>
        <w:rPr>
          <w:rFonts w:ascii="Times New Roman" w:hAnsi="Times New Roman" w:eastAsia="宋体" w:cs="Times New Roman"/>
          <w:sz w:val="28"/>
          <w:szCs w:val="28"/>
        </w:rPr>
        <w:t xml:space="preserve">内所有水域滩涂，确保不遗漏任何符合规划条件的水域滩涂，进一步提升规划的完整性和覆盖面。 </w:t>
      </w:r>
    </w:p>
    <w:p w14:paraId="2F11C2D1">
      <w:pPr>
        <w:keepNext/>
        <w:keepLines/>
        <w:pageBreakBefore w:val="0"/>
        <w:widowControl w:val="0"/>
        <w:numPr>
          <w:ilvl w:val="0"/>
          <w:numId w:val="14"/>
        </w:numPr>
        <w:kinsoku/>
        <w:wordWrap/>
        <w:overflowPunct/>
        <w:topLinePunct w:val="0"/>
        <w:autoSpaceDE/>
        <w:autoSpaceDN/>
        <w:bidi w:val="0"/>
        <w:adjustRightInd w:val="0"/>
        <w:snapToGrid/>
        <w:ind w:left="0" w:leftChars="0" w:firstLine="560" w:firstLineChars="200"/>
        <w:jc w:val="both"/>
        <w:textAlignment w:val="auto"/>
        <w:outlineLvl w:val="9"/>
        <w:rPr>
          <w:b w:val="0"/>
        </w:rPr>
      </w:pPr>
      <w:bookmarkStart w:id="123" w:name="_Toc14423"/>
      <w:bookmarkStart w:id="124" w:name="_Toc10551"/>
      <w:r>
        <w:t>坚持统一平台，规范准确的原则</w:t>
      </w:r>
      <w:bookmarkEnd w:id="123"/>
      <w:bookmarkEnd w:id="124"/>
      <w:r>
        <w:t xml:space="preserve"> </w:t>
      </w:r>
    </w:p>
    <w:p w14:paraId="41D8EF7D">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充分利用国土空间规划和国土调查平台，确保修订程序、调查方法和编制过程的科学化、规范化。依法依规，合理规划；对水域滩涂数据进行认真复核，确保修订信息的准确性。推动《规划》数字化管理水平的提升，确保数据能够及时更新，实现《规划》提档升级。</w:t>
      </w:r>
    </w:p>
    <w:p w14:paraId="51EF5FBD">
      <w:pPr>
        <w:pStyle w:val="11"/>
        <w:keepNext w:val="0"/>
        <w:keepLines w:val="0"/>
        <w:pageBreakBefore w:val="0"/>
        <w:widowControl w:val="0"/>
        <w:numPr>
          <w:ilvl w:val="0"/>
          <w:numId w:val="14"/>
        </w:numPr>
        <w:kinsoku/>
        <w:wordWrap/>
        <w:overflowPunct/>
        <w:topLinePunct w:val="0"/>
        <w:autoSpaceDE/>
        <w:autoSpaceDN/>
        <w:bidi w:val="0"/>
        <w:adjustRightInd w:val="0"/>
        <w:snapToGrid/>
        <w:ind w:left="0" w:leftChars="0" w:firstLine="560" w:firstLineChars="200"/>
        <w:jc w:val="both"/>
        <w:textAlignment w:val="auto"/>
        <w:rPr>
          <w:rFonts w:hint="eastAsia"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科学规划、因地制宜的原则</w:t>
      </w:r>
    </w:p>
    <w:p w14:paraId="299C2E8C">
      <w:pPr>
        <w:pStyle w:val="11"/>
        <w:ind w:left="0" w:leftChars="0" w:firstLine="560" w:firstLineChars="200"/>
        <w:jc w:val="both"/>
        <w:rPr>
          <w:rFonts w:hint="default" w:ascii="Times New Roman" w:hAnsi="Times New Roman" w:eastAsia="黑体" w:cs="Times New Roman"/>
          <w:kern w:val="2"/>
          <w:sz w:val="30"/>
          <w:szCs w:val="24"/>
          <w:lang w:val="en-US" w:eastAsia="zh-CN" w:bidi="ar-SA"/>
        </w:rPr>
      </w:pPr>
      <w:r>
        <w:rPr>
          <w:rFonts w:hint="default" w:ascii="Times New Roman" w:hAnsi="Times New Roman" w:eastAsia="宋体" w:cs="Times New Roman"/>
          <w:sz w:val="28"/>
          <w:szCs w:val="28"/>
          <w:lang w:val="en-US" w:eastAsia="zh-CN"/>
        </w:rPr>
        <w:t>依据承载力与产业需求，科学划区、合理布局、细化管理措施。生态优先、底线约束的原则：严守生态保护红线，将饮用水源地、自然保护区等划为禁养/限养区，设定发展底线。合理布局、有序利用的原则：稳定合规养殖、发展生态与设施养殖，实现有序利用、协调可持续发展。</w:t>
      </w:r>
    </w:p>
    <w:p w14:paraId="34EF5B92">
      <w:pPr>
        <w:pStyle w:val="3"/>
        <w:numPr>
          <w:ilvl w:val="0"/>
          <w:numId w:val="2"/>
        </w:numPr>
        <w:ind w:left="0" w:leftChars="0" w:firstLine="600" w:firstLineChars="200"/>
        <w:jc w:val="both"/>
        <w:rPr>
          <w:b w:val="0"/>
        </w:rPr>
      </w:pPr>
      <w:bookmarkStart w:id="125" w:name="_Toc11574"/>
      <w:bookmarkStart w:id="126" w:name="_Toc27755"/>
      <w:bookmarkStart w:id="127" w:name="_Toc14488"/>
      <w:bookmarkStart w:id="128" w:name="_Toc11372"/>
      <w:bookmarkStart w:id="129" w:name="_Toc7368"/>
      <w:bookmarkStart w:id="130" w:name="_Toc20905"/>
      <w:bookmarkStart w:id="131" w:name="_Toc14382"/>
      <w:bookmarkStart w:id="132" w:name="_Toc21801"/>
      <w:bookmarkStart w:id="133" w:name="_Toc31427"/>
      <w:r>
        <w:t>规划范围</w:t>
      </w:r>
      <w:bookmarkEnd w:id="125"/>
      <w:bookmarkEnd w:id="126"/>
      <w:bookmarkEnd w:id="127"/>
      <w:bookmarkEnd w:id="128"/>
      <w:bookmarkEnd w:id="129"/>
      <w:bookmarkEnd w:id="130"/>
      <w:bookmarkEnd w:id="131"/>
      <w:bookmarkEnd w:id="132"/>
      <w:bookmarkEnd w:id="133"/>
    </w:p>
    <w:p w14:paraId="765F1158">
      <w:pPr>
        <w:pStyle w:val="11"/>
        <w:ind w:left="0" w:leftChars="0" w:firstLine="560" w:firstLineChars="200"/>
        <w:jc w:val="both"/>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本规划中的养殖水域滩涂是指</w:t>
      </w:r>
      <w:r>
        <w:rPr>
          <w:rFonts w:hint="eastAsia" w:cs="Times New Roman"/>
          <w:color w:val="auto"/>
          <w:sz w:val="28"/>
          <w:szCs w:val="28"/>
          <w:lang w:eastAsia="zh-CN"/>
        </w:rPr>
        <w:t>友好区</w:t>
      </w:r>
      <w:r>
        <w:rPr>
          <w:rFonts w:ascii="Times New Roman" w:hAnsi="Times New Roman" w:eastAsia="宋体" w:cs="Times New Roman"/>
          <w:color w:val="auto"/>
          <w:sz w:val="28"/>
          <w:szCs w:val="28"/>
        </w:rPr>
        <w:t>行政区域管辖水域滩涂范围内，已经进行水产养殖开发利用和目前尚未开发但适于水产养殖开发利用的所有（全民、集体）水域和滩涂。</w:t>
      </w:r>
    </w:p>
    <w:p w14:paraId="17AE8E0A">
      <w:pPr>
        <w:pStyle w:val="11"/>
        <w:ind w:left="0" w:leftChars="0" w:firstLine="560" w:firstLineChars="200"/>
        <w:jc w:val="both"/>
        <w:rPr>
          <w:rFonts w:ascii="Times New Roman" w:hAnsi="Times New Roman" w:eastAsia="宋体" w:cs="Times New Roman"/>
          <w:color w:val="auto"/>
          <w:sz w:val="28"/>
          <w:szCs w:val="28"/>
        </w:rPr>
      </w:pPr>
    </w:p>
    <w:p w14:paraId="5AC376C1">
      <w:pPr>
        <w:pStyle w:val="2"/>
        <w:numPr>
          <w:ilvl w:val="0"/>
          <w:numId w:val="1"/>
        </w:numPr>
        <w:ind w:left="0" w:leftChars="0" w:firstLine="0" w:firstLineChars="0"/>
        <w:jc w:val="center"/>
        <w:rPr>
          <w:b w:val="0"/>
        </w:rPr>
      </w:pPr>
      <w:bookmarkStart w:id="134" w:name="_Toc18409"/>
      <w:bookmarkStart w:id="135" w:name="_Toc21599"/>
      <w:bookmarkStart w:id="136" w:name="_Toc13959"/>
      <w:bookmarkStart w:id="137" w:name="_Toc21596"/>
      <w:bookmarkStart w:id="138" w:name="_Toc19550"/>
      <w:bookmarkStart w:id="139" w:name="_Toc32119"/>
      <w:bookmarkStart w:id="140" w:name="_Toc254"/>
      <w:bookmarkStart w:id="141" w:name="_Toc26124"/>
      <w:bookmarkStart w:id="142" w:name="_Toc8383"/>
      <w:r>
        <w:t>养殖水域滩涂利用评价</w:t>
      </w:r>
      <w:bookmarkEnd w:id="134"/>
      <w:bookmarkEnd w:id="135"/>
      <w:bookmarkEnd w:id="136"/>
      <w:bookmarkEnd w:id="137"/>
      <w:bookmarkEnd w:id="138"/>
      <w:bookmarkEnd w:id="139"/>
      <w:bookmarkEnd w:id="140"/>
      <w:bookmarkEnd w:id="141"/>
      <w:bookmarkEnd w:id="142"/>
    </w:p>
    <w:p w14:paraId="1F780EF5">
      <w:pPr>
        <w:pStyle w:val="3"/>
        <w:numPr>
          <w:ilvl w:val="0"/>
          <w:numId w:val="15"/>
        </w:numPr>
        <w:ind w:left="0" w:leftChars="0" w:firstLine="600" w:firstLineChars="200"/>
        <w:jc w:val="both"/>
      </w:pPr>
      <w:bookmarkStart w:id="143" w:name="_Toc16483"/>
      <w:bookmarkStart w:id="144" w:name="_Toc2557"/>
      <w:bookmarkStart w:id="145" w:name="_Toc30183"/>
      <w:bookmarkStart w:id="146" w:name="_Toc23224"/>
      <w:bookmarkStart w:id="147" w:name="_Toc1855"/>
      <w:bookmarkStart w:id="148" w:name="_Toc27251"/>
      <w:bookmarkStart w:id="149" w:name="_Toc26657"/>
      <w:bookmarkStart w:id="150" w:name="_Toc31508"/>
      <w:bookmarkStart w:id="151" w:name="_Toc23344"/>
      <w:r>
        <w:t>水域滩涂承载力分析</w:t>
      </w:r>
      <w:bookmarkEnd w:id="143"/>
      <w:bookmarkEnd w:id="144"/>
      <w:bookmarkEnd w:id="145"/>
      <w:bookmarkEnd w:id="146"/>
      <w:bookmarkEnd w:id="147"/>
      <w:bookmarkEnd w:id="148"/>
      <w:bookmarkEnd w:id="149"/>
      <w:bookmarkEnd w:id="150"/>
      <w:bookmarkEnd w:id="151"/>
    </w:p>
    <w:p w14:paraId="4B5D2B2A">
      <w:pPr>
        <w:pStyle w:val="4"/>
        <w:numPr>
          <w:ilvl w:val="0"/>
          <w:numId w:val="16"/>
        </w:numPr>
        <w:ind w:left="0" w:leftChars="0" w:firstLine="600" w:firstLineChars="200"/>
        <w:jc w:val="both"/>
        <w:rPr>
          <w:b w:val="0"/>
        </w:rPr>
      </w:pPr>
      <w:bookmarkStart w:id="152" w:name="_Toc27879"/>
      <w:bookmarkStart w:id="153" w:name="_Toc15311"/>
      <w:bookmarkStart w:id="154" w:name="_Toc29580"/>
      <w:bookmarkStart w:id="155" w:name="_Toc10362"/>
      <w:bookmarkStart w:id="156" w:name="_Toc23738"/>
      <w:r>
        <w:t>水域滩涂资源状况</w:t>
      </w:r>
      <w:bookmarkEnd w:id="152"/>
      <w:bookmarkEnd w:id="153"/>
      <w:bookmarkEnd w:id="154"/>
      <w:bookmarkEnd w:id="155"/>
      <w:bookmarkEnd w:id="156"/>
    </w:p>
    <w:p w14:paraId="6C2A98C1">
      <w:pPr>
        <w:pStyle w:val="5"/>
        <w:numPr>
          <w:ilvl w:val="0"/>
          <w:numId w:val="17"/>
        </w:numPr>
        <w:ind w:left="0" w:leftChars="0" w:firstLine="560" w:firstLineChars="200"/>
        <w:jc w:val="both"/>
        <w:rPr>
          <w:b w:val="0"/>
        </w:rPr>
      </w:pPr>
      <w:r>
        <w:t>地理位置</w:t>
      </w:r>
    </w:p>
    <w:p w14:paraId="43AB92A2">
      <w:pPr>
        <w:pStyle w:val="11"/>
        <w:keepNext w:val="0"/>
        <w:keepLines w:val="0"/>
        <w:pageBreakBefore w:val="0"/>
        <w:widowControl w:val="0"/>
        <w:kinsoku/>
        <w:wordWrap/>
        <w:overflowPunct/>
        <w:topLinePunct w:val="0"/>
        <w:autoSpaceDE/>
        <w:autoSpaceDN/>
        <w:bidi w:val="0"/>
        <w:adjustRightInd w:val="0"/>
        <w:snapToGrid/>
        <w:spacing w:before="0" w:after="0"/>
        <w:ind w:leftChars="0" w:firstLine="560" w:firstLineChars="200"/>
        <w:jc w:val="both"/>
        <w:textAlignment w:val="auto"/>
        <w:rPr>
          <w:rFonts w:hint="eastAsia" w:cs="Times New Roman"/>
          <w:color w:val="0000FF"/>
          <w:sz w:val="28"/>
          <w:szCs w:val="28"/>
          <w:lang w:eastAsia="zh-CN"/>
        </w:rPr>
      </w:pPr>
      <w:r>
        <w:rPr>
          <w:rFonts w:hint="eastAsia" w:cs="Times New Roman"/>
          <w:color w:val="000000"/>
          <w:sz w:val="28"/>
          <w:szCs w:val="28"/>
          <w:lang w:val="en-US" w:eastAsia="zh-CN"/>
        </w:rPr>
        <w:t>友好区地处伊春市东北部、小兴安岭腹地，坐落于汤旺河中上游区域，地理区位清晰：东部与丰林县接壤，西部毗邻乌翠区，南部连接伊美区，北部与黑河市逊克县相邻。作为伊春市“一主五副”规划中的四个中心城区之一，友好区交通便捷，区址距市中心仅16公里，距林都机场24公里；区域总面积达2999.5平方公里，地理坐标介于东经128°07′34″～128°59′53″、北纬47°45′56″～48°33′25″之间。</w:t>
      </w:r>
      <w:r>
        <w:rPr>
          <w:rFonts w:hint="eastAsia" w:cs="Times New Roman"/>
          <w:color w:val="auto"/>
          <w:sz w:val="28"/>
          <w:szCs w:val="28"/>
        </w:rPr>
        <w:t xml:space="preserve">友好区下辖 </w:t>
      </w:r>
      <w:r>
        <w:rPr>
          <w:rFonts w:hint="eastAsia" w:cs="Times New Roman"/>
          <w:color w:val="auto"/>
          <w:sz w:val="28"/>
          <w:szCs w:val="28"/>
          <w:lang w:val="en-US" w:eastAsia="zh-CN"/>
        </w:rPr>
        <w:t>1</w:t>
      </w:r>
      <w:r>
        <w:rPr>
          <w:rFonts w:hint="eastAsia" w:cs="Times New Roman"/>
          <w:color w:val="auto"/>
          <w:sz w:val="28"/>
          <w:szCs w:val="28"/>
        </w:rPr>
        <w:t xml:space="preserve"> 个镇</w:t>
      </w:r>
      <w:r>
        <w:rPr>
          <w:rFonts w:hint="eastAsia" w:cs="Times New Roman"/>
          <w:color w:val="auto"/>
          <w:sz w:val="28"/>
          <w:szCs w:val="28"/>
          <w:lang w:eastAsia="zh-CN"/>
        </w:rPr>
        <w:t>、</w:t>
      </w:r>
      <w:r>
        <w:rPr>
          <w:rFonts w:hint="eastAsia" w:cs="Times New Roman"/>
          <w:color w:val="auto"/>
          <w:sz w:val="28"/>
          <w:szCs w:val="28"/>
          <w:lang w:val="en-US" w:eastAsia="zh-CN"/>
        </w:rPr>
        <w:t>4</w:t>
      </w:r>
      <w:r>
        <w:rPr>
          <w:rFonts w:hint="eastAsia" w:cs="Times New Roman"/>
          <w:color w:val="auto"/>
          <w:sz w:val="28"/>
          <w:szCs w:val="28"/>
        </w:rPr>
        <w:t>个街道</w:t>
      </w:r>
      <w:r>
        <w:rPr>
          <w:rFonts w:hint="eastAsia" w:cs="Times New Roman"/>
          <w:color w:val="auto"/>
          <w:sz w:val="28"/>
          <w:szCs w:val="28"/>
          <w:lang w:eastAsia="zh-CN"/>
        </w:rPr>
        <w:t>、</w:t>
      </w:r>
      <w:r>
        <w:rPr>
          <w:rFonts w:hint="eastAsia" w:cs="Times New Roman"/>
          <w:color w:val="auto"/>
          <w:sz w:val="28"/>
          <w:szCs w:val="28"/>
          <w:lang w:val="en-US" w:eastAsia="zh-CN"/>
        </w:rPr>
        <w:t>1个林业局</w:t>
      </w:r>
      <w:r>
        <w:rPr>
          <w:rFonts w:hint="eastAsia" w:cs="Times New Roman"/>
          <w:color w:val="auto"/>
          <w:sz w:val="28"/>
          <w:szCs w:val="28"/>
        </w:rPr>
        <w:t>：双子河街道、铁林街道、友好街道、上甘岭镇</w:t>
      </w:r>
      <w:r>
        <w:rPr>
          <w:rFonts w:hint="eastAsia" w:cs="Times New Roman"/>
          <w:color w:val="auto"/>
          <w:sz w:val="28"/>
          <w:szCs w:val="28"/>
          <w:lang w:eastAsia="zh-CN"/>
        </w:rPr>
        <w:t>、松花江分局绥棱林业局</w:t>
      </w:r>
      <w:r>
        <w:rPr>
          <w:rFonts w:hint="eastAsia" w:cs="Times New Roman"/>
          <w:color w:val="auto"/>
          <w:sz w:val="28"/>
          <w:szCs w:val="28"/>
        </w:rPr>
        <w:t>。</w:t>
      </w:r>
    </w:p>
    <w:p w14:paraId="49FAC2F1">
      <w:pPr>
        <w:pStyle w:val="5"/>
        <w:numPr>
          <w:ilvl w:val="0"/>
          <w:numId w:val="17"/>
        </w:numPr>
        <w:ind w:left="0" w:leftChars="0" w:firstLine="560" w:firstLineChars="200"/>
        <w:jc w:val="both"/>
        <w:rPr>
          <w:b w:val="0"/>
        </w:rPr>
      </w:pPr>
      <w:r>
        <w:t>地质地貌</w:t>
      </w:r>
    </w:p>
    <w:p w14:paraId="1BED6AE7">
      <w:pPr>
        <w:pStyle w:val="11"/>
        <w:ind w:left="0" w:leftChars="0" w:firstLine="560" w:firstLineChars="200"/>
        <w:jc w:val="both"/>
        <w:rPr>
          <w:rFonts w:hint="eastAsia" w:ascii="Times New Roman" w:hAnsi="Times New Roman" w:eastAsia="宋体" w:cs="Times New Roman"/>
          <w:color w:val="auto"/>
          <w:sz w:val="28"/>
          <w:szCs w:val="28"/>
          <w:lang w:eastAsia="zh-CN"/>
        </w:rPr>
      </w:pPr>
      <w:r>
        <w:rPr>
          <w:rFonts w:hint="eastAsia" w:cs="Times New Roman"/>
          <w:color w:val="000000"/>
          <w:sz w:val="28"/>
          <w:szCs w:val="28"/>
          <w:lang w:val="en-US" w:eastAsia="zh-CN"/>
        </w:rPr>
        <w:t>友好区属于低山丘陵地带。坡度平均在 100 至 140 之间，局部地区最大坡度可达 350 至 400，岗脊较宽平。海拔高度介于 228 至 795 米之间，平均海拔高度 450 米左右。小兴安岭主脉在境内北部沿东西方向通过，友好区全境地形中间高，南北低，形成南北两坡。南坡是北高南低，属于汤旺河流域，占全区总面积的 70%；北坡是南高北低，属于黑龙江流域，占总面积的 30%。整个轮廊南北长，为 86公里，东西窄，最宽处为 59 公里，最窄处仅有 20 公里，周长 365.5 公里。友好区境内山峦是由小兴安岭山脉及其延伸的14条支脉以及 532 条余脉所构成。山脉总延伸长度达 1951 公里之多。大小山峰 1030 座。</w:t>
      </w:r>
    </w:p>
    <w:p w14:paraId="3DC7C01A">
      <w:pPr>
        <w:pStyle w:val="5"/>
        <w:numPr>
          <w:ilvl w:val="0"/>
          <w:numId w:val="17"/>
        </w:numPr>
        <w:ind w:left="0" w:leftChars="0" w:firstLine="560" w:firstLineChars="200"/>
        <w:jc w:val="both"/>
        <w:rPr>
          <w:b w:val="0"/>
        </w:rPr>
      </w:pPr>
      <w:r>
        <w:t>类型范围、面积数量</w:t>
      </w:r>
    </w:p>
    <w:p w14:paraId="42A64046">
      <w:pPr>
        <w:pStyle w:val="11"/>
        <w:ind w:leftChars="0" w:firstLine="560" w:firstLineChars="200"/>
        <w:jc w:val="both"/>
        <w:rPr>
          <w:rFonts w:ascii="Times New Roman" w:hAnsi="Times New Roman" w:eastAsia="宋体" w:cs="Times New Roman"/>
          <w:sz w:val="28"/>
          <w:szCs w:val="28"/>
        </w:rPr>
      </w:pPr>
      <w:r>
        <w:rPr>
          <w:rFonts w:hint="eastAsia" w:cs="Times New Roman"/>
          <w:sz w:val="28"/>
          <w:szCs w:val="28"/>
          <w:lang w:eastAsia="zh-CN"/>
        </w:rPr>
        <w:t>友好区</w:t>
      </w:r>
      <w:r>
        <w:rPr>
          <w:rFonts w:ascii="Times New Roman" w:hAnsi="Times New Roman" w:eastAsia="宋体" w:cs="Times New Roman"/>
          <w:sz w:val="28"/>
          <w:szCs w:val="28"/>
        </w:rPr>
        <w:t>水域的主要类型是河流、水库、池塘。</w:t>
      </w:r>
    </w:p>
    <w:p w14:paraId="0FA5BDFC">
      <w:pPr>
        <w:pStyle w:val="6"/>
        <w:numPr>
          <w:ilvl w:val="0"/>
          <w:numId w:val="18"/>
        </w:numPr>
        <w:ind w:left="0" w:leftChars="0" w:firstLine="560" w:firstLineChars="200"/>
        <w:jc w:val="both"/>
        <w:rPr>
          <w:b w:val="0"/>
        </w:rPr>
      </w:pPr>
      <w:r>
        <w:t>河流</w:t>
      </w:r>
    </w:p>
    <w:p w14:paraId="6DB33E1C">
      <w:pPr>
        <w:pStyle w:val="11"/>
        <w:widowControl/>
        <w:ind w:leftChars="0" w:firstLine="560" w:firstLineChars="200"/>
        <w:jc w:val="both"/>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伊春市友好区境内水系发达，有大小河流 24 条，分属松花江、黑龙江两大水系，核心河流为汤旺河、友好河、双子河、都鲁河四大水系。</w:t>
      </w:r>
    </w:p>
    <w:p w14:paraId="2C9907D3">
      <w:pPr>
        <w:pStyle w:val="11"/>
        <w:widowControl/>
        <w:ind w:leftChars="0" w:firstLine="560" w:firstLineChars="200"/>
        <w:jc w:val="both"/>
        <w:rPr>
          <w:rFonts w:hint="eastAsia" w:cs="Times New Roman"/>
          <w:color w:val="000000"/>
          <w:sz w:val="28"/>
          <w:szCs w:val="28"/>
          <w:lang w:eastAsia="zh-CN"/>
        </w:rPr>
      </w:pPr>
      <w:r>
        <w:rPr>
          <w:rFonts w:ascii="Times New Roman" w:hAnsi="Times New Roman" w:eastAsia="宋体" w:cs="Times New Roman"/>
          <w:color w:val="000000"/>
          <w:sz w:val="28"/>
          <w:szCs w:val="28"/>
        </w:rPr>
        <w:t>汤旺河为</w:t>
      </w:r>
      <w:r>
        <w:rPr>
          <w:rFonts w:hint="eastAsia" w:cs="Times New Roman"/>
          <w:color w:val="000000"/>
          <w:sz w:val="28"/>
          <w:szCs w:val="28"/>
          <w:lang w:eastAsia="zh-CN"/>
        </w:rPr>
        <w:t>友好区</w:t>
      </w:r>
      <w:r>
        <w:rPr>
          <w:rFonts w:ascii="Times New Roman" w:hAnsi="Times New Roman" w:eastAsia="宋体" w:cs="Times New Roman"/>
          <w:color w:val="000000"/>
          <w:sz w:val="28"/>
          <w:szCs w:val="28"/>
        </w:rPr>
        <w:t>境内主要河流，发源于小兴安岭中北部，自西北向东南贯穿全境，是过境干流，</w:t>
      </w:r>
      <w:r>
        <w:rPr>
          <w:rFonts w:hint="eastAsia" w:cs="Times New Roman"/>
          <w:color w:val="000000"/>
          <w:sz w:val="28"/>
          <w:szCs w:val="28"/>
          <w:lang w:val="en-US" w:eastAsia="zh-CN"/>
        </w:rPr>
        <w:t>境内</w:t>
      </w:r>
      <w:r>
        <w:rPr>
          <w:rFonts w:ascii="Times New Roman" w:hAnsi="Times New Roman" w:eastAsia="宋体" w:cs="Times New Roman"/>
          <w:color w:val="000000"/>
          <w:sz w:val="28"/>
          <w:szCs w:val="28"/>
        </w:rPr>
        <w:t>流程22.5 公里，河宽约144 米</w:t>
      </w:r>
      <w:r>
        <w:rPr>
          <w:rFonts w:hint="eastAsia" w:cs="Times New Roman"/>
          <w:color w:val="000000"/>
          <w:sz w:val="28"/>
          <w:szCs w:val="28"/>
          <w:lang w:eastAsia="zh-CN"/>
        </w:rPr>
        <w:t>，洪水期可达180 m，水深常态1.5 m，洪水期5.7 m，流速常态0.3 m/s，洪水期0.5 m/s。</w:t>
      </w:r>
    </w:p>
    <w:p w14:paraId="4608831E">
      <w:pPr>
        <w:pStyle w:val="11"/>
        <w:widowControl/>
        <w:ind w:left="0" w:leftChars="0" w:firstLine="0" w:firstLineChars="0"/>
        <w:jc w:val="both"/>
        <w:rPr>
          <w:rFonts w:hint="eastAsia" w:ascii="Times New Roman" w:hAnsi="Times New Roman" w:eastAsia="宋体" w:cs="Times New Roman"/>
          <w:color w:val="000000"/>
          <w:sz w:val="28"/>
          <w:szCs w:val="28"/>
          <w:lang w:eastAsia="zh-CN"/>
        </w:rPr>
      </w:pPr>
      <w:r>
        <w:rPr>
          <w:rFonts w:hint="eastAsia" w:cs="Times New Roman"/>
          <w:color w:val="000000"/>
          <w:sz w:val="28"/>
          <w:szCs w:val="28"/>
          <w:lang w:eastAsia="zh-CN"/>
        </w:rPr>
        <w:t>自北向南，由上甘岭区入境、经友好区、入乌马河 、 伊春区，最终注入松花江。</w:t>
      </w:r>
    </w:p>
    <w:p w14:paraId="72F3296C">
      <w:pPr>
        <w:pStyle w:val="11"/>
        <w:widowControl/>
        <w:ind w:leftChars="0" w:firstLine="560" w:firstLineChars="200"/>
        <w:jc w:val="both"/>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友好河</w:t>
      </w:r>
      <w:r>
        <w:rPr>
          <w:rFonts w:hint="eastAsia" w:ascii="Times New Roman" w:hAnsi="Times New Roman" w:eastAsia="宋体" w:cs="Times New Roman"/>
          <w:color w:val="000000"/>
          <w:sz w:val="28"/>
          <w:szCs w:val="28"/>
          <w:lang w:eastAsia="zh-CN"/>
        </w:rPr>
        <w:t>，</w:t>
      </w:r>
      <w:r>
        <w:rPr>
          <w:rFonts w:ascii="Times New Roman" w:hAnsi="Times New Roman" w:eastAsia="宋体" w:cs="Times New Roman"/>
          <w:color w:val="000000"/>
          <w:sz w:val="28"/>
          <w:szCs w:val="28"/>
        </w:rPr>
        <w:t>全长118.8 公里，流域面积948 平方公里，河宽12–35 m，下游约35 m</w:t>
      </w:r>
      <w:r>
        <w:rPr>
          <w:rFonts w:hint="eastAsia" w:cs="Times New Roman"/>
          <w:color w:val="000000"/>
          <w:sz w:val="28"/>
          <w:szCs w:val="28"/>
          <w:lang w:eastAsia="zh-CN"/>
        </w:rPr>
        <w:t>，</w:t>
      </w:r>
      <w:r>
        <w:rPr>
          <w:rFonts w:ascii="Times New Roman" w:hAnsi="Times New Roman" w:eastAsia="宋体" w:cs="Times New Roman"/>
          <w:color w:val="000000"/>
          <w:sz w:val="28"/>
          <w:szCs w:val="28"/>
        </w:rPr>
        <w:t>水深：0.9–1.8 m，下游约0.9 m</w:t>
      </w:r>
      <w:r>
        <w:rPr>
          <w:rFonts w:hint="eastAsia" w:cs="Times New Roman"/>
          <w:color w:val="000000"/>
          <w:sz w:val="28"/>
          <w:szCs w:val="28"/>
          <w:lang w:eastAsia="zh-CN"/>
        </w:rPr>
        <w:t>，</w:t>
      </w:r>
      <w:r>
        <w:rPr>
          <w:rFonts w:ascii="Times New Roman" w:hAnsi="Times New Roman" w:eastAsia="宋体" w:cs="Times New Roman"/>
          <w:color w:val="000000"/>
          <w:sz w:val="28"/>
          <w:szCs w:val="28"/>
        </w:rPr>
        <w:t>流速：0.4 m/s</w:t>
      </w:r>
      <w:r>
        <w:rPr>
          <w:rFonts w:hint="eastAsia" w:cs="Times New Roman"/>
          <w:color w:val="000000"/>
          <w:sz w:val="28"/>
          <w:szCs w:val="28"/>
          <w:lang w:eastAsia="zh-CN"/>
        </w:rPr>
        <w:t>。</w:t>
      </w:r>
      <w:r>
        <w:rPr>
          <w:rFonts w:ascii="Times New Roman" w:hAnsi="Times New Roman" w:eastAsia="宋体" w:cs="Times New Roman"/>
          <w:color w:val="000000"/>
          <w:sz w:val="28"/>
          <w:szCs w:val="28"/>
        </w:rPr>
        <w:t>由东友好河、西友好河汇流而成，于区政府驻地附近注入汤旺河。</w:t>
      </w:r>
    </w:p>
    <w:p w14:paraId="422F8DF2">
      <w:pPr>
        <w:pStyle w:val="11"/>
        <w:keepNext w:val="0"/>
        <w:keepLines w:val="0"/>
        <w:pageBreakBefore w:val="0"/>
        <w:widowControl/>
        <w:kinsoku/>
        <w:wordWrap/>
        <w:overflowPunct/>
        <w:topLinePunct w:val="0"/>
        <w:autoSpaceDE/>
        <w:autoSpaceDN/>
        <w:bidi w:val="0"/>
        <w:adjustRightInd w:val="0"/>
        <w:snapToGrid/>
        <w:spacing w:after="0"/>
        <w:ind w:leftChars="0" w:firstLine="560" w:firstLineChars="200"/>
        <w:jc w:val="both"/>
        <w:textAlignment w:val="auto"/>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双子河</w:t>
      </w:r>
      <w:r>
        <w:rPr>
          <w:rFonts w:hint="eastAsia" w:ascii="Times New Roman" w:hAnsi="Times New Roman" w:eastAsia="宋体" w:cs="Times New Roman"/>
          <w:color w:val="000000"/>
          <w:sz w:val="28"/>
          <w:szCs w:val="28"/>
          <w:lang w:eastAsia="zh-CN"/>
        </w:rPr>
        <w:t>，</w:t>
      </w:r>
      <w:r>
        <w:rPr>
          <w:rFonts w:ascii="Times New Roman" w:hAnsi="Times New Roman" w:eastAsia="宋体" w:cs="Times New Roman"/>
          <w:color w:val="000000"/>
          <w:sz w:val="28"/>
          <w:szCs w:val="28"/>
        </w:rPr>
        <w:t>全长108 公里，上游由东卡尔太河、西卡尔太河、鸡爪河、罗圈河等支流汇合，流经双子河镇北注入汤旺河。河道弯曲度大、河谷狭窄、比降陡、多急流与石质河床。森林茂密、泥炭沼泽广布，支流多小型冷水泉。</w:t>
      </w:r>
    </w:p>
    <w:p w14:paraId="6154C8DD">
      <w:pPr>
        <w:pStyle w:val="11"/>
        <w:widowControl/>
        <w:ind w:leftChars="0" w:firstLine="560" w:firstLineChars="200"/>
        <w:jc w:val="both"/>
        <w:rPr>
          <w:rFonts w:hint="eastAsia" w:ascii="Times New Roman" w:hAnsi="Times New Roman" w:eastAsia="宋体" w:cs="Times New Roman"/>
          <w:color w:val="000000"/>
          <w:sz w:val="28"/>
          <w:szCs w:val="28"/>
          <w:lang w:eastAsia="zh-CN"/>
        </w:rPr>
      </w:pPr>
      <w:r>
        <w:rPr>
          <w:rFonts w:ascii="Times New Roman" w:hAnsi="Times New Roman" w:eastAsia="宋体" w:cs="Times New Roman"/>
          <w:color w:val="000000"/>
          <w:sz w:val="28"/>
          <w:szCs w:val="28"/>
        </w:rPr>
        <w:t>东都鲁河位于友好区北坡，西都鲁河源出友好区西北</w:t>
      </w:r>
      <w:r>
        <w:rPr>
          <w:rFonts w:hint="eastAsia" w:ascii="Times New Roman" w:hAnsi="Times New Roman" w:eastAsia="宋体" w:cs="Times New Roman"/>
          <w:color w:val="000000"/>
          <w:sz w:val="28"/>
          <w:szCs w:val="28"/>
          <w:lang w:eastAsia="zh-CN"/>
        </w:rPr>
        <w:t>，</w:t>
      </w:r>
      <w:r>
        <w:rPr>
          <w:rFonts w:ascii="Times New Roman" w:hAnsi="Times New Roman" w:eastAsia="宋体" w:cs="Times New Roman"/>
          <w:color w:val="000000"/>
          <w:sz w:val="28"/>
          <w:szCs w:val="28"/>
        </w:rPr>
        <w:t>属黑龙江水系，南高北低，与南坡河流流向相反向</w:t>
      </w:r>
      <w:r>
        <w:rPr>
          <w:rFonts w:hint="eastAsia" w:cs="Times New Roman"/>
          <w:color w:val="000000"/>
          <w:sz w:val="28"/>
          <w:szCs w:val="28"/>
          <w:lang w:eastAsia="zh-CN"/>
        </w:rPr>
        <w:t>，</w:t>
      </w:r>
      <w:r>
        <w:rPr>
          <w:rFonts w:ascii="Times New Roman" w:hAnsi="Times New Roman" w:eastAsia="宋体" w:cs="Times New Roman"/>
          <w:color w:val="000000"/>
          <w:sz w:val="28"/>
          <w:szCs w:val="28"/>
        </w:rPr>
        <w:t>北流入逊克县境内，是区域北部主要河流。</w:t>
      </w:r>
    </w:p>
    <w:p w14:paraId="6E6F44F1">
      <w:pPr>
        <w:pStyle w:val="6"/>
        <w:numPr>
          <w:ilvl w:val="0"/>
          <w:numId w:val="18"/>
        </w:numPr>
        <w:ind w:left="0" w:leftChars="0" w:firstLine="560" w:firstLineChars="200"/>
        <w:jc w:val="both"/>
        <w:rPr>
          <w:b w:val="0"/>
        </w:rPr>
      </w:pPr>
      <w:r>
        <w:t>水库</w:t>
      </w:r>
    </w:p>
    <w:p w14:paraId="00AD2368">
      <w:pPr>
        <w:pStyle w:val="11"/>
        <w:ind w:leftChars="0" w:firstLine="560" w:firstLineChars="200"/>
        <w:jc w:val="both"/>
        <w:rPr>
          <w:rFonts w:ascii="Times New Roman" w:hAnsi="Times New Roman" w:eastAsia="宋体" w:cs="Times New Roman"/>
          <w:sz w:val="28"/>
          <w:szCs w:val="28"/>
        </w:rPr>
      </w:pPr>
      <w:r>
        <w:rPr>
          <w:rFonts w:hint="eastAsia" w:cs="Times New Roman"/>
          <w:sz w:val="28"/>
          <w:szCs w:val="28"/>
          <w:lang w:eastAsia="zh-CN"/>
        </w:rPr>
        <w:t>友好区</w:t>
      </w:r>
      <w:r>
        <w:rPr>
          <w:rFonts w:ascii="Times New Roman" w:hAnsi="Times New Roman" w:eastAsia="宋体" w:cs="Times New Roman"/>
          <w:sz w:val="28"/>
          <w:szCs w:val="28"/>
        </w:rPr>
        <w:t>境内以小型为主，兼具防洪、灌溉、旅游等功能</w:t>
      </w:r>
      <w:r>
        <w:rPr>
          <w:rFonts w:hint="eastAsia" w:cs="Times New Roman"/>
          <w:sz w:val="28"/>
          <w:szCs w:val="28"/>
          <w:lang w:eastAsia="zh-CN"/>
        </w:rPr>
        <w:t>，</w:t>
      </w:r>
      <w:r>
        <w:rPr>
          <w:rFonts w:ascii="Times New Roman" w:hAnsi="Times New Roman" w:eastAsia="宋体" w:cs="Times New Roman"/>
          <w:sz w:val="28"/>
          <w:szCs w:val="28"/>
        </w:rPr>
        <w:t>主要有青山水库</w:t>
      </w:r>
      <w:r>
        <w:rPr>
          <w:rFonts w:hint="eastAsia" w:cs="Times New Roman"/>
          <w:sz w:val="28"/>
          <w:szCs w:val="28"/>
          <w:lang w:eastAsia="zh-CN"/>
        </w:rPr>
        <w:t>，</w:t>
      </w:r>
      <w:r>
        <w:rPr>
          <w:rFonts w:hint="eastAsia" w:cs="Times New Roman"/>
          <w:sz w:val="28"/>
          <w:szCs w:val="28"/>
          <w:lang w:val="en-US" w:eastAsia="zh-CN"/>
        </w:rPr>
        <w:t>位于</w:t>
      </w:r>
      <w:r>
        <w:rPr>
          <w:rFonts w:hint="eastAsia" w:cs="Times New Roman"/>
          <w:sz w:val="28"/>
          <w:szCs w:val="28"/>
          <w:lang w:eastAsia="zh-CN"/>
        </w:rPr>
        <w:t>友好区上甘岭林业局青山林场，紧邻双子河支流；二龙湖，</w:t>
      </w:r>
      <w:r>
        <w:rPr>
          <w:rFonts w:hint="eastAsia" w:cs="Times New Roman"/>
          <w:sz w:val="28"/>
          <w:szCs w:val="28"/>
          <w:lang w:val="en-US" w:eastAsia="zh-CN"/>
        </w:rPr>
        <w:t>位于</w:t>
      </w:r>
      <w:r>
        <w:rPr>
          <w:rFonts w:hint="eastAsia" w:cs="Times New Roman"/>
          <w:sz w:val="28"/>
          <w:szCs w:val="28"/>
          <w:lang w:eastAsia="zh-CN"/>
        </w:rPr>
        <w:t>友好区上甘岭溪水国家森林公园内，</w:t>
      </w:r>
      <w:r>
        <w:rPr>
          <w:rFonts w:hint="eastAsia" w:cs="Times New Roman"/>
          <w:sz w:val="28"/>
          <w:szCs w:val="28"/>
          <w:lang w:val="en-US" w:eastAsia="zh-CN"/>
        </w:rPr>
        <w:t>属于</w:t>
      </w:r>
      <w:r>
        <w:rPr>
          <w:rFonts w:hint="eastAsia" w:cs="Times New Roman"/>
          <w:sz w:val="28"/>
          <w:szCs w:val="28"/>
          <w:lang w:eastAsia="zh-CN"/>
        </w:rPr>
        <w:t>天然森林湖泊，人工修整堤坝形成小型水库，生态旅游核心节点；兴安湖水库，跨友好、乌翠两区边界，国家大Ⅱ 型水利枢纽；</w:t>
      </w:r>
      <w:r>
        <w:rPr>
          <w:rFonts w:hint="eastAsia" w:cs="Times New Roman"/>
          <w:sz w:val="28"/>
          <w:szCs w:val="28"/>
          <w:lang w:val="en-US" w:eastAsia="zh-CN"/>
        </w:rPr>
        <w:t>其他小型水库还有双子河水库、友好河拦河坝、老泉眼塘坝</w:t>
      </w:r>
      <w:r>
        <w:rPr>
          <w:rFonts w:ascii="Times New Roman" w:hAnsi="Times New Roman" w:eastAsia="宋体" w:cs="Times New Roman"/>
          <w:sz w:val="28"/>
          <w:szCs w:val="28"/>
        </w:rPr>
        <w:t>。</w:t>
      </w:r>
    </w:p>
    <w:p w14:paraId="728FB83E">
      <w:pPr>
        <w:pStyle w:val="6"/>
        <w:numPr>
          <w:ilvl w:val="0"/>
          <w:numId w:val="18"/>
        </w:numPr>
        <w:ind w:left="0" w:leftChars="0" w:firstLine="560" w:firstLineChars="200"/>
        <w:jc w:val="both"/>
        <w:rPr>
          <w:b w:val="0"/>
          <w:sz w:val="28"/>
          <w:szCs w:val="28"/>
        </w:rPr>
      </w:pPr>
      <w:r>
        <w:rPr>
          <w:sz w:val="28"/>
          <w:szCs w:val="28"/>
        </w:rPr>
        <w:t>池塘</w:t>
      </w:r>
    </w:p>
    <w:p w14:paraId="2075F245">
      <w:pPr>
        <w:pStyle w:val="11"/>
        <w:ind w:leftChars="0" w:firstLine="560" w:firstLineChars="200"/>
        <w:jc w:val="both"/>
        <w:rPr>
          <w:rFonts w:hint="eastAsia" w:ascii="Times New Roman" w:hAnsi="Times New Roman" w:eastAsia="宋体" w:cs="Times New Roman"/>
          <w:sz w:val="28"/>
          <w:szCs w:val="28"/>
          <w:lang w:eastAsia="zh-CN"/>
        </w:rPr>
      </w:pPr>
      <w:r>
        <w:rPr>
          <w:rFonts w:hint="eastAsia" w:cs="Times New Roman"/>
          <w:sz w:val="28"/>
          <w:szCs w:val="28"/>
          <w:lang w:eastAsia="zh-CN"/>
        </w:rPr>
        <w:t>友好区</w:t>
      </w:r>
      <w:r>
        <w:rPr>
          <w:rFonts w:ascii="Times New Roman" w:hAnsi="Times New Roman" w:eastAsia="宋体" w:cs="Times New Roman"/>
          <w:sz w:val="28"/>
          <w:szCs w:val="28"/>
        </w:rPr>
        <w:t>现有池塘养殖</w:t>
      </w:r>
      <w:r>
        <w:rPr>
          <w:rFonts w:hint="eastAsia" w:cs="Times New Roman"/>
          <w:sz w:val="28"/>
          <w:szCs w:val="28"/>
          <w:lang w:val="en-US" w:eastAsia="zh-CN"/>
        </w:rPr>
        <w:t>主要</w:t>
      </w:r>
      <w:r>
        <w:rPr>
          <w:rFonts w:ascii="Times New Roman" w:hAnsi="Times New Roman" w:eastAsia="宋体" w:cs="Times New Roman"/>
          <w:sz w:val="28"/>
          <w:szCs w:val="28"/>
        </w:rPr>
        <w:t>分布在上甘岭镇，</w:t>
      </w:r>
      <w:r>
        <w:rPr>
          <w:rFonts w:hint="eastAsia" w:cs="Times New Roman"/>
          <w:sz w:val="28"/>
          <w:szCs w:val="28"/>
          <w:lang w:val="en-US" w:eastAsia="zh-CN"/>
        </w:rPr>
        <w:t>包括</w:t>
      </w:r>
      <w:r>
        <w:rPr>
          <w:rFonts w:ascii="Times New Roman" w:hAnsi="Times New Roman" w:eastAsia="宋体" w:cs="Times New Roman"/>
          <w:sz w:val="28"/>
          <w:szCs w:val="28"/>
        </w:rPr>
        <w:t>上甘岭镇黑龙江伊蓝生物科技冷水鱼养殖基地、双盈畜禽养殖场</w:t>
      </w:r>
      <w:r>
        <w:rPr>
          <w:rFonts w:hint="eastAsia" w:cs="Times New Roman"/>
          <w:sz w:val="28"/>
          <w:szCs w:val="28"/>
          <w:lang w:eastAsia="zh-CN"/>
        </w:rPr>
        <w:t>、伊春森工上甘岭林业局溪水村养殖池塘</w:t>
      </w:r>
      <w:r>
        <w:rPr>
          <w:rFonts w:ascii="Times New Roman" w:hAnsi="Times New Roman" w:eastAsia="宋体" w:cs="Times New Roman"/>
          <w:sz w:val="28"/>
          <w:szCs w:val="28"/>
        </w:rPr>
        <w:t>，用于水产养殖。养殖种类以冷水鱼（细鳞鲑、虹鳟）、鲤鲫草鱼、林蛙为主。</w:t>
      </w:r>
    </w:p>
    <w:p w14:paraId="7826649E">
      <w:pPr>
        <w:pStyle w:val="4"/>
        <w:numPr>
          <w:ilvl w:val="0"/>
          <w:numId w:val="16"/>
        </w:numPr>
        <w:ind w:left="0" w:leftChars="0" w:firstLine="600" w:firstLineChars="200"/>
        <w:jc w:val="both"/>
        <w:rPr>
          <w:b w:val="0"/>
        </w:rPr>
      </w:pPr>
      <w:bookmarkStart w:id="157" w:name="_Toc20846"/>
      <w:bookmarkStart w:id="158" w:name="_Toc3821"/>
      <w:bookmarkStart w:id="159" w:name="_Toc21977"/>
      <w:bookmarkStart w:id="160" w:name="_Toc3537"/>
      <w:bookmarkStart w:id="161" w:name="_Toc24000"/>
      <w:r>
        <w:t>自然气候条件</w:t>
      </w:r>
      <w:bookmarkEnd w:id="157"/>
      <w:bookmarkEnd w:id="158"/>
      <w:bookmarkEnd w:id="159"/>
      <w:bookmarkEnd w:id="160"/>
      <w:bookmarkEnd w:id="161"/>
    </w:p>
    <w:p w14:paraId="11E458EC">
      <w:pPr>
        <w:pStyle w:val="5"/>
        <w:numPr>
          <w:ilvl w:val="0"/>
          <w:numId w:val="19"/>
        </w:numPr>
        <w:ind w:left="0" w:leftChars="0" w:firstLine="560" w:firstLineChars="200"/>
        <w:jc w:val="both"/>
        <w:rPr>
          <w:b w:val="0"/>
        </w:rPr>
      </w:pPr>
      <w:r>
        <w:t>水文</w:t>
      </w:r>
    </w:p>
    <w:p w14:paraId="25229EBF">
      <w:pPr>
        <w:pStyle w:val="11"/>
        <w:widowControl/>
        <w:ind w:leftChars="0" w:firstLine="560" w:firstLineChars="200"/>
        <w:jc w:val="both"/>
        <w:rPr>
          <w:rFonts w:ascii="Times New Roman" w:hAnsi="Times New Roman" w:eastAsia="宋体" w:cs="Times New Roman"/>
          <w:color w:val="auto"/>
          <w:sz w:val="28"/>
          <w:szCs w:val="28"/>
        </w:rPr>
      </w:pPr>
      <w:r>
        <w:rPr>
          <w:rFonts w:ascii="Times New Roman" w:hAnsi="Times New Roman" w:eastAsia="宋体" w:cs="Times New Roman"/>
          <w:color w:val="auto"/>
          <w:sz w:val="28"/>
          <w:szCs w:val="28"/>
          <w:lang w:val="en-US" w:eastAsia="zh-CN"/>
        </w:rPr>
        <w:t>友好区</w:t>
      </w:r>
      <w:r>
        <w:rPr>
          <w:rFonts w:hint="eastAsia" w:ascii="Times New Roman" w:hAnsi="Times New Roman" w:eastAsia="宋体" w:cs="Times New Roman"/>
          <w:color w:val="auto"/>
          <w:sz w:val="28"/>
          <w:szCs w:val="28"/>
          <w:lang w:val="en-US" w:eastAsia="zh-CN"/>
        </w:rPr>
        <w:t>地表水系发育以汤旺河水系为主</w:t>
      </w:r>
      <w:r>
        <w:rPr>
          <w:rFonts w:hint="eastAsia" w:cs="Times New Roman"/>
          <w:color w:val="auto"/>
          <w:sz w:val="28"/>
          <w:szCs w:val="28"/>
          <w:lang w:val="en-US" w:eastAsia="zh-CN"/>
        </w:rPr>
        <w:t>，地下水丰富，水位埋深5-40米，径流量每秒每平方公里1-6升。水的理化成分构成良好。水温偏低较为突出，历年11月下旬至翌年4月初是“封冰期”，冰层50-150厘米不等，此时大多数鱼类进入休眠状态，同时，受气温的影响水温季节变化十分明显，冬夏温差大，每年4月中旬至11月上旬的“明水期”是水生生物的生长季节，特别是7-8月份是温水性鱼类生长的黄金时期，因土壤、底质、植被覆盖的不同，加之水中悬浮物、浮游生物密度的变化，不同水域在不同季节，透明度有一定差异。</w:t>
      </w:r>
      <w:r>
        <w:rPr>
          <w:rFonts w:hint="eastAsia" w:cs="Times New Roman"/>
          <w:color w:val="auto"/>
          <w:sz w:val="28"/>
          <w:szCs w:val="28"/>
          <w:lang w:val="en-US" w:eastAsia="zh-CN"/>
        </w:rPr>
        <w:fldChar w:fldCharType="begin"/>
      </w:r>
      <w:r>
        <w:rPr>
          <w:rFonts w:hint="eastAsia" w:cs="Times New Roman"/>
          <w:color w:val="auto"/>
          <w:sz w:val="28"/>
          <w:szCs w:val="28"/>
          <w:lang w:val="en-US" w:eastAsia="zh-CN"/>
        </w:rPr>
        <w:instrText xml:space="preserve"> HYPERLINK "https://china.qianlong.com/2025/0605/8500207.shtml" \t "https://chat.deepseek.com/a/chat/s/_blank" </w:instrText>
      </w:r>
      <w:r>
        <w:rPr>
          <w:rFonts w:hint="eastAsia" w:cs="Times New Roman"/>
          <w:color w:val="auto"/>
          <w:sz w:val="28"/>
          <w:szCs w:val="28"/>
          <w:lang w:val="en-US" w:eastAsia="zh-CN"/>
        </w:rPr>
        <w:fldChar w:fldCharType="separate"/>
      </w:r>
      <w:r>
        <w:rPr>
          <w:rFonts w:hint="eastAsia" w:cs="Times New Roman"/>
          <w:color w:val="auto"/>
          <w:sz w:val="28"/>
          <w:szCs w:val="28"/>
          <w:lang w:val="en-US" w:eastAsia="zh-CN"/>
        </w:rPr>
        <w:fldChar w:fldCharType="end"/>
      </w:r>
    </w:p>
    <w:p w14:paraId="6F4C5F68">
      <w:pPr>
        <w:pStyle w:val="5"/>
        <w:numPr>
          <w:ilvl w:val="0"/>
          <w:numId w:val="19"/>
        </w:numPr>
        <w:ind w:left="0" w:leftChars="0" w:firstLine="560" w:firstLineChars="200"/>
        <w:jc w:val="both"/>
        <w:rPr>
          <w:b w:val="0"/>
          <w:color w:val="auto"/>
        </w:rPr>
      </w:pPr>
      <w:r>
        <w:rPr>
          <w:color w:val="auto"/>
        </w:rPr>
        <w:t>水质</w:t>
      </w:r>
    </w:p>
    <w:p w14:paraId="5EF3BD14">
      <w:pPr>
        <w:ind w:firstLine="560" w:firstLineChars="200"/>
      </w:pPr>
      <w:r>
        <w:rPr>
          <w:rFonts w:hint="eastAsia"/>
          <w:lang w:val="en-US" w:eastAsia="zh-CN"/>
        </w:rPr>
        <w:t>友好区</w:t>
      </w:r>
      <w:r>
        <w:rPr>
          <w:rFonts w:hint="eastAsia"/>
        </w:rPr>
        <w:t>普遍为软水，溶解氧多在每升5</w:t>
      </w:r>
      <w:r>
        <w:rPr>
          <w:rFonts w:hint="eastAsia"/>
          <w:lang w:val="en-US" w:eastAsia="zh-CN"/>
        </w:rPr>
        <w:t>-</w:t>
      </w:r>
      <w:r>
        <w:rPr>
          <w:rFonts w:hint="eastAsia"/>
        </w:rPr>
        <w:t>11.5毫克，PH值在6.5-7.8之间，总硬度0.5</w:t>
      </w:r>
      <w:r>
        <w:rPr>
          <w:rFonts w:hint="eastAsia"/>
          <w:lang w:val="en-US" w:eastAsia="zh-CN"/>
        </w:rPr>
        <w:t>-</w:t>
      </w:r>
      <w:r>
        <w:rPr>
          <w:rFonts w:hint="eastAsia"/>
        </w:rPr>
        <w:t>15.5德国度，总碱度每升0.20-5.63毫克当量。按阿列金的天然水分类法，汤旺河水系属于重碳酸盐钠组第一型(CI</w:t>
      </w:r>
      <w:r>
        <w:rPr>
          <w:rFonts w:hint="eastAsia"/>
          <w:vertAlign w:val="superscript"/>
          <w:lang w:val="en-US" w:eastAsia="zh-CN"/>
        </w:rPr>
        <w:t>Na</w:t>
      </w:r>
      <w:r>
        <w:rPr>
          <w:rFonts w:hint="eastAsia"/>
        </w:rPr>
        <w:t>)的水域，黑龙江水系属于重碳酸钙组第二型(CI</w:t>
      </w:r>
      <w:r>
        <w:rPr>
          <w:rFonts w:hint="eastAsia"/>
          <w:vertAlign w:val="superscript"/>
          <w:lang w:val="en-US" w:eastAsia="zh-CN"/>
        </w:rPr>
        <w:t>Na</w:t>
      </w:r>
      <w:r>
        <w:rPr>
          <w:rFonts w:hint="eastAsia"/>
        </w:rPr>
        <w:t>)的水域，符合渔业用水标准，均属富营养型。</w:t>
      </w:r>
    </w:p>
    <w:p w14:paraId="0DC80BE7">
      <w:pPr>
        <w:pStyle w:val="5"/>
        <w:numPr>
          <w:ilvl w:val="0"/>
          <w:numId w:val="19"/>
        </w:numPr>
        <w:ind w:left="0" w:leftChars="0" w:firstLine="560" w:firstLineChars="200"/>
        <w:jc w:val="both"/>
        <w:rPr>
          <w:b w:val="0"/>
        </w:rPr>
      </w:pPr>
      <w:r>
        <w:t>气候</w:t>
      </w:r>
    </w:p>
    <w:p w14:paraId="1729EC60">
      <w:pPr>
        <w:keepNext w:val="0"/>
        <w:keepLines w:val="0"/>
        <w:widowControl/>
        <w:suppressLineNumbers w:val="0"/>
        <w:ind w:firstLine="560" w:firstLineChars="200"/>
        <w:jc w:val="left"/>
        <w:rPr>
          <w:rFonts w:hint="eastAsia"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t>友好区属北温带大陆性湿润季风气候区，常年气</w:t>
      </w:r>
      <w:r>
        <w:rPr>
          <w:rFonts w:hint="eastAsia" w:ascii="Times New Roman" w:hAnsi="Times New Roman" w:eastAsia="宋体" w:cs="Times New Roman"/>
          <w:kern w:val="2"/>
          <w:sz w:val="28"/>
          <w:szCs w:val="28"/>
          <w:lang w:val="en-US" w:eastAsia="zh-CN" w:bidi="ar-SA"/>
        </w:rPr>
        <w:t>温变化很大，冬季寒冷干燥而漫长，夏季炎热多雨而较短促。年平均气温在 0.4℃左右，年积温在 2000-2500℃。春季风大、少雨、干燥，夏季温暖多雨、光照不足，秋季风平气爽、多晴，冬季严寒。年平均气温为 0.4°C，1 月份平均气温-23°C，7 月份平均气温为 20.5°C，冬季平均气温-16.2°C，平均年降水量为 630mm，早霜 9 月上旬，晚霜翌年 5 月中下旬消失，无霜期为 110 天左右。每年有 6 个月的冰封期。</w:t>
      </w:r>
    </w:p>
    <w:p w14:paraId="1CF93E6A">
      <w:pPr>
        <w:pStyle w:val="5"/>
        <w:numPr>
          <w:ilvl w:val="0"/>
          <w:numId w:val="19"/>
        </w:numPr>
        <w:ind w:left="0" w:leftChars="0" w:firstLine="560" w:firstLineChars="200"/>
        <w:jc w:val="both"/>
        <w:rPr>
          <w:b w:val="0"/>
        </w:rPr>
      </w:pPr>
      <w:r>
        <w:rPr>
          <w:rFonts w:hint="eastAsia"/>
          <w:b w:val="0"/>
          <w:lang w:val="en-US" w:eastAsia="zh-CN"/>
        </w:rPr>
        <w:t>自然灾害</w:t>
      </w:r>
    </w:p>
    <w:p w14:paraId="0C947AE3">
      <w:pPr>
        <w:keepNext w:val="0"/>
        <w:keepLines w:val="0"/>
        <w:widowControl/>
        <w:suppressLineNumbers w:val="0"/>
        <w:ind w:firstLine="560" w:firstLineChars="200"/>
        <w:jc w:val="left"/>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友好区地处小兴安岭主脉，属寒温带大陆性季风气候，地质构造相对稳定但受周边地震区影响，境内自然灾害以气象灾害为主，地质灾害、生物灾害偶有发生，台风、赤潮等灾害影响极小</w:t>
      </w:r>
      <w:r>
        <w:rPr>
          <w:rFonts w:hint="eastAsia" w:cs="Times New Roman"/>
          <w:kern w:val="2"/>
          <w:sz w:val="28"/>
          <w:szCs w:val="28"/>
          <w:lang w:val="en-US" w:eastAsia="zh-CN" w:bidi="ar-SA"/>
        </w:rPr>
        <w:t>。冰冻灾害是友好区冬季主要自然灾害，影响范围广、持续时间长，主要表现为暴雪、道路结冰、极寒天气等。区域冬季漫长，每年11月中旬至次年4月中旬为冰期，降雪频繁且积雪深厚，常出现暴雪天气。</w:t>
      </w:r>
    </w:p>
    <w:p w14:paraId="1B8FAE33">
      <w:pPr>
        <w:pStyle w:val="4"/>
        <w:numPr>
          <w:ilvl w:val="0"/>
          <w:numId w:val="16"/>
        </w:numPr>
        <w:ind w:left="0" w:leftChars="0" w:firstLine="600" w:firstLineChars="200"/>
        <w:jc w:val="both"/>
        <w:rPr>
          <w:b w:val="0"/>
        </w:rPr>
      </w:pPr>
      <w:bookmarkStart w:id="162" w:name="_Toc4500"/>
      <w:bookmarkStart w:id="163" w:name="_Toc10822"/>
      <w:bookmarkStart w:id="164" w:name="_Toc5029"/>
      <w:bookmarkStart w:id="165" w:name="_Toc27856"/>
      <w:bookmarkStart w:id="166" w:name="_Toc19565"/>
      <w:r>
        <w:t>水生生物资源状况</w:t>
      </w:r>
      <w:bookmarkEnd w:id="162"/>
      <w:bookmarkEnd w:id="163"/>
      <w:bookmarkEnd w:id="164"/>
      <w:bookmarkEnd w:id="165"/>
      <w:bookmarkEnd w:id="166"/>
    </w:p>
    <w:p w14:paraId="06C200B1">
      <w:pPr>
        <w:pStyle w:val="11"/>
        <w:ind w:leftChars="0" w:firstLine="560" w:firstLineChars="200"/>
        <w:jc w:val="both"/>
        <w:rPr>
          <w:rFonts w:ascii="Times New Roman" w:hAnsi="Times New Roman" w:eastAsia="宋体" w:cs="Times New Roman"/>
          <w:sz w:val="28"/>
          <w:szCs w:val="28"/>
        </w:rPr>
      </w:pPr>
      <w:r>
        <w:rPr>
          <w:rFonts w:hint="eastAsia" w:cs="Times New Roman"/>
          <w:sz w:val="28"/>
          <w:szCs w:val="28"/>
          <w:lang w:eastAsia="zh-CN"/>
        </w:rPr>
        <w:t>友好区</w:t>
      </w:r>
      <w:r>
        <w:rPr>
          <w:rFonts w:ascii="Times New Roman" w:hAnsi="Times New Roman" w:eastAsia="宋体" w:cs="Times New Roman"/>
          <w:sz w:val="28"/>
          <w:szCs w:val="28"/>
        </w:rPr>
        <w:t>自然水域中主要生物组成有四类，分别为鱼类资源、底栖动物、浮游生物、水生植物。</w:t>
      </w:r>
    </w:p>
    <w:p w14:paraId="7458A7EC">
      <w:pPr>
        <w:pStyle w:val="5"/>
        <w:numPr>
          <w:ilvl w:val="0"/>
          <w:numId w:val="20"/>
        </w:numPr>
        <w:ind w:left="0" w:leftChars="0" w:firstLine="560" w:firstLineChars="200"/>
        <w:jc w:val="both"/>
        <w:rPr>
          <w:b w:val="0"/>
        </w:rPr>
      </w:pPr>
      <w:r>
        <w:t>浮游生物</w:t>
      </w:r>
    </w:p>
    <w:p w14:paraId="4016856B">
      <w:pPr>
        <w:keepNext w:val="0"/>
        <w:keepLines w:val="0"/>
        <w:widowControl/>
        <w:suppressLineNumbers w:val="0"/>
        <w:ind w:firstLine="560" w:firstLineChars="200"/>
        <w:jc w:val="left"/>
        <w:rPr>
          <w:rFonts w:ascii="Times New Roman" w:hAnsi="Times New Roman" w:eastAsia="宋体" w:cs="Times New Roman"/>
          <w:kern w:val="2"/>
          <w:sz w:val="28"/>
          <w:szCs w:val="28"/>
          <w:lang w:bidi="ar-SA"/>
        </w:rPr>
      </w:pPr>
      <w:r>
        <w:rPr>
          <w:rFonts w:ascii="Times New Roman" w:hAnsi="Times New Roman" w:eastAsia="宋体" w:cs="Times New Roman"/>
          <w:kern w:val="2"/>
          <w:sz w:val="28"/>
          <w:szCs w:val="28"/>
          <w:lang w:val="en-US" w:eastAsia="zh-CN" w:bidi="ar-SA"/>
        </w:rPr>
        <w:t>浮游生物作为水域初级生产力的核心，浮游植物以硅藻、绿藻为优势类群，涵盖7门种类，适配区域冷水环境，浮游动物则以轮虫、枝角类、桡足类为主，是冷水鱼苗开口饵料和水体净化的重要力量。水生植物主要分布于浅水区、乳影岛湿地及冷水养殖池塘，挺水植物以芦苇、香蒲为主，浮叶植物有莲、菱角等，沉水植物如马来眼子菜、苦草、狐尾藻等则是水体溶氧制造和冷水鱼类产卵的重要场所。</w:t>
      </w:r>
    </w:p>
    <w:p w14:paraId="6A40B9F3">
      <w:pPr>
        <w:pStyle w:val="5"/>
        <w:numPr>
          <w:ilvl w:val="0"/>
          <w:numId w:val="20"/>
        </w:numPr>
        <w:ind w:left="0" w:leftChars="0" w:firstLine="560" w:firstLineChars="200"/>
        <w:jc w:val="both"/>
        <w:rPr>
          <w:b w:val="0"/>
        </w:rPr>
      </w:pPr>
      <w:r>
        <w:t>水生植物</w:t>
      </w:r>
    </w:p>
    <w:p w14:paraId="465B2E45">
      <w:pPr>
        <w:keepNext w:val="0"/>
        <w:keepLines w:val="0"/>
        <w:widowControl/>
        <w:suppressLineNumbers w:val="0"/>
        <w:ind w:firstLine="560" w:firstLineChars="200"/>
        <w:jc w:val="left"/>
        <w:rPr>
          <w:rFonts w:ascii="Times New Roman" w:hAnsi="Times New Roman" w:eastAsia="宋体" w:cs="Times New Roman"/>
          <w:kern w:val="2"/>
          <w:sz w:val="28"/>
          <w:szCs w:val="28"/>
          <w:lang w:bidi="ar-SA"/>
        </w:rPr>
      </w:pPr>
      <w:r>
        <w:rPr>
          <w:rFonts w:ascii="Times New Roman" w:hAnsi="Times New Roman" w:eastAsia="宋体" w:cs="Times New Roman"/>
          <w:kern w:val="2"/>
          <w:sz w:val="28"/>
          <w:szCs w:val="28"/>
          <w:lang w:val="en-US" w:eastAsia="zh-CN" w:bidi="ar-SA"/>
        </w:rPr>
        <w:t>水生植物主要分布于浅水区、乳影岛湿地及冷水养殖池塘，挺水植物以芦苇、香蒲为主，多生长于汤旺河、友好河、双子河近岸浅滩，兼具固土护岸与水质净化功能；浮叶植物有莲、菱角等，主要分布于青山水库及人工池塘；沉水植物如马来眼子菜、苦草、狐尾藻等则是水体溶氧制造和冷水鱼类产卵的重要场所，适配区域冷水水域环境。</w:t>
      </w:r>
    </w:p>
    <w:p w14:paraId="56114F01">
      <w:pPr>
        <w:pStyle w:val="11"/>
        <w:ind w:leftChars="0" w:firstLine="480" w:firstLineChars="200"/>
        <w:jc w:val="both"/>
        <w:rPr>
          <w:rFonts w:ascii="Times New Roman" w:hAnsi="Times New Roman" w:eastAsia="宋体" w:cs="Times New Roman"/>
          <w:sz w:val="24"/>
          <w:szCs w:val="24"/>
        </w:rPr>
      </w:pPr>
    </w:p>
    <w:p w14:paraId="68A67F18">
      <w:pPr>
        <w:pStyle w:val="5"/>
        <w:numPr>
          <w:ilvl w:val="0"/>
          <w:numId w:val="20"/>
        </w:numPr>
        <w:ind w:left="0" w:leftChars="0" w:firstLine="560" w:firstLineChars="200"/>
        <w:jc w:val="both"/>
        <w:rPr>
          <w:b w:val="0"/>
        </w:rPr>
      </w:pPr>
      <w:r>
        <w:t>底栖动物</w:t>
      </w:r>
    </w:p>
    <w:p w14:paraId="0AF28B7A">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lang w:val="en-US" w:eastAsia="zh-CN"/>
        </w:rPr>
        <w:t>底栖动物以软体动物和水生昆虫及环节动物为主，田螺、河蚌等软体动物常见于青山水库及缓流河底，适应冷水环境；摇蚊幼虫、蜉蝣稚虫、石蛾稚虫等既是冷水鱼类优质饵料，也是水体清洁度的重要指示种，其中蜉蝣、石蛾等稚虫对水质要求极高，仅存在于汤旺河、友好河、双子河高溶氧的清洁溪流中，充分反映区域水域水质优良。</w:t>
      </w:r>
    </w:p>
    <w:p w14:paraId="1E7CE6BA">
      <w:pPr>
        <w:pStyle w:val="5"/>
        <w:numPr>
          <w:ilvl w:val="0"/>
          <w:numId w:val="20"/>
        </w:numPr>
        <w:ind w:left="0" w:leftChars="0" w:firstLine="560" w:firstLineChars="200"/>
        <w:jc w:val="both"/>
        <w:rPr>
          <w:b w:val="0"/>
        </w:rPr>
      </w:pPr>
      <w:r>
        <w:t>鱼类资源</w:t>
      </w:r>
    </w:p>
    <w:p w14:paraId="46CFF1FB">
      <w:pPr>
        <w:keepNext w:val="0"/>
        <w:keepLines w:val="0"/>
        <w:widowControl/>
        <w:suppressLineNumbers w:val="0"/>
        <w:ind w:firstLine="560" w:firstLineChars="200"/>
        <w:jc w:val="left"/>
        <w:rPr>
          <w:rFonts w:ascii="Times New Roman" w:hAnsi="Times New Roman" w:eastAsia="宋体" w:cs="Times New Roman"/>
          <w:kern w:val="2"/>
          <w:sz w:val="28"/>
          <w:szCs w:val="28"/>
          <w:lang w:val="en-US" w:eastAsia="zh-CN" w:bidi="ar-SA"/>
        </w:rPr>
      </w:pPr>
      <w:bookmarkStart w:id="167" w:name="_Toc24844"/>
      <w:bookmarkStart w:id="168" w:name="_Toc18761"/>
      <w:bookmarkStart w:id="169" w:name="_Toc9078"/>
      <w:bookmarkStart w:id="170" w:name="_Toc22037"/>
      <w:r>
        <w:rPr>
          <w:rFonts w:ascii="Times New Roman" w:hAnsi="Times New Roman" w:eastAsia="宋体" w:cs="Times New Roman"/>
          <w:kern w:val="2"/>
          <w:sz w:val="28"/>
          <w:szCs w:val="28"/>
          <w:lang w:val="en-US" w:eastAsia="zh-CN" w:bidi="ar-SA"/>
        </w:rPr>
        <w:t>鱼类是该区水生生物的核心类群，共16科69种，其中土著种65种，依托区域冷水水域优势，包含细鳞鲑、哲罗鲑等国家重点保护冷水珍稀物种，也有黑龙江茴鱼、柳根鱼、鳌花（鳜鱼）等常见冷水经济种，以及鲤、鲫、草、鲢等常规养殖鱼类，泥鳅、马口鱼、棒花鱼等小型鱼类也广泛分布于各类自然水域及人工池塘，构成了适配冷水环境的多层次鱼类群落。</w:t>
      </w:r>
    </w:p>
    <w:p w14:paraId="1156BC41">
      <w:pPr>
        <w:pStyle w:val="4"/>
        <w:numPr>
          <w:ilvl w:val="0"/>
          <w:numId w:val="16"/>
        </w:numPr>
        <w:ind w:left="0" w:leftChars="0" w:firstLine="600" w:firstLineChars="200"/>
        <w:jc w:val="both"/>
        <w:rPr>
          <w:b w:val="0"/>
        </w:rPr>
      </w:pPr>
      <w:bookmarkStart w:id="171" w:name="_Toc15243"/>
      <w:r>
        <w:t>水域环境状况</w:t>
      </w:r>
      <w:bookmarkEnd w:id="167"/>
      <w:bookmarkEnd w:id="168"/>
      <w:bookmarkEnd w:id="169"/>
      <w:bookmarkEnd w:id="170"/>
      <w:bookmarkEnd w:id="171"/>
      <w:r>
        <w:t xml:space="preserve">  </w:t>
      </w:r>
    </w:p>
    <w:p w14:paraId="125C114E">
      <w:pPr>
        <w:pStyle w:val="11"/>
        <w:ind w:leftChars="0" w:firstLine="560" w:firstLineChars="200"/>
        <w:jc w:val="both"/>
        <w:rPr>
          <w:rFonts w:ascii="Times New Roman" w:hAnsi="Times New Roman" w:eastAsia="宋体" w:cs="Times New Roman"/>
          <w:sz w:val="28"/>
          <w:szCs w:val="28"/>
        </w:rPr>
      </w:pPr>
      <w:r>
        <w:rPr>
          <w:rFonts w:hint="eastAsia" w:cs="Times New Roman"/>
          <w:sz w:val="28"/>
          <w:szCs w:val="28"/>
          <w:lang w:eastAsia="zh-CN"/>
        </w:rPr>
        <w:t>友好区</w:t>
      </w:r>
      <w:r>
        <w:rPr>
          <w:rFonts w:hint="eastAsia" w:cs="Times New Roman"/>
          <w:sz w:val="28"/>
          <w:szCs w:val="28"/>
          <w:lang w:val="en-US" w:eastAsia="zh-CN"/>
        </w:rPr>
        <w:t>境</w:t>
      </w:r>
      <w:r>
        <w:rPr>
          <w:rFonts w:ascii="Times New Roman" w:hAnsi="Times New Roman" w:eastAsia="宋体" w:cs="Times New Roman"/>
          <w:sz w:val="28"/>
          <w:szCs w:val="28"/>
        </w:rPr>
        <w:t>内PH</w:t>
      </w:r>
      <w:r>
        <w:rPr>
          <w:rFonts w:hint="eastAsia" w:cs="Times New Roman"/>
          <w:sz w:val="28"/>
          <w:szCs w:val="28"/>
          <w:lang w:val="en-US" w:eastAsia="zh-CN"/>
        </w:rPr>
        <w:t>值</w:t>
      </w:r>
      <w:r>
        <w:rPr>
          <w:rFonts w:ascii="Times New Roman" w:hAnsi="Times New Roman" w:eastAsia="宋体" w:cs="Times New Roman"/>
          <w:sz w:val="28"/>
          <w:szCs w:val="28"/>
        </w:rPr>
        <w:t>6.7—7.8</w:t>
      </w:r>
      <w:r>
        <w:rPr>
          <w:rFonts w:hint="eastAsia" w:cs="Times New Roman"/>
          <w:sz w:val="28"/>
          <w:szCs w:val="28"/>
          <w:lang w:val="en-US" w:eastAsia="zh-CN"/>
        </w:rPr>
        <w:t>之间</w:t>
      </w:r>
      <w:r>
        <w:rPr>
          <w:rFonts w:ascii="Times New Roman" w:hAnsi="Times New Roman" w:eastAsia="宋体" w:cs="Times New Roman"/>
          <w:sz w:val="28"/>
          <w:szCs w:val="28"/>
        </w:rPr>
        <w:t>，本区域溶解氧含量较高，均值在7.7～10.8mg/L，亚硝酸盐0.000～0.01mg/L，氨氮0.03～0.05mg/L，硝酸盐0.08～0.15mg/L，总氮0.2～0.5mg/L，在无机态氮组成中，亚硝酸盐和氨氮含量很低，硝酸盐是无机氮存在的主要组成特征。</w:t>
      </w:r>
      <w:r>
        <w:rPr>
          <w:rFonts w:ascii="Times New Roman" w:hAnsi="Times New Roman" w:eastAsia="宋体" w:cs="Times New Roman"/>
          <w:sz w:val="28"/>
          <w:szCs w:val="28"/>
          <w:lang w:val="en-US" w:eastAsia="zh-CN"/>
        </w:rPr>
        <w:t>友好区境内水质优良，水质综合合格率常年保持100%，属于重碳酸盐水，总硬度不大，矿化度低，主要离子含量适度，水化学分带不明显，水产养殖环境状况优良，主要养殖区域均远离工矿企业，无工业污染影响，水质均符合</w:t>
      </w:r>
      <w:r>
        <w:rPr>
          <w:rFonts w:hint="eastAsia" w:cs="Times New Roman"/>
          <w:sz w:val="28"/>
          <w:szCs w:val="28"/>
          <w:lang w:val="en-US" w:eastAsia="zh-CN"/>
        </w:rPr>
        <w:t>养殖水质</w:t>
      </w:r>
      <w:r>
        <w:rPr>
          <w:rFonts w:ascii="Times New Roman" w:hAnsi="Times New Roman" w:eastAsia="宋体" w:cs="Times New Roman"/>
          <w:sz w:val="28"/>
          <w:szCs w:val="28"/>
          <w:lang w:val="en-US" w:eastAsia="zh-CN"/>
        </w:rPr>
        <w:t>标准，适配区域冷水鱼类生长特性，适于各种鱼类的产卵、索饵、生长，为冷水鱼养殖及自然水域鱼类栖息提供了良好的水质基础。</w:t>
      </w:r>
    </w:p>
    <w:p w14:paraId="1D731B8D">
      <w:pPr>
        <w:pStyle w:val="4"/>
        <w:numPr>
          <w:ilvl w:val="0"/>
          <w:numId w:val="16"/>
        </w:numPr>
        <w:ind w:left="0" w:leftChars="0" w:firstLine="600" w:firstLineChars="200"/>
        <w:jc w:val="both"/>
        <w:rPr>
          <w:b w:val="0"/>
          <w:color w:val="auto"/>
        </w:rPr>
      </w:pPr>
      <w:bookmarkStart w:id="172" w:name="_Toc18147"/>
      <w:bookmarkStart w:id="173" w:name="_Toc23341"/>
      <w:bookmarkStart w:id="174" w:name="_Toc8078"/>
      <w:bookmarkStart w:id="175" w:name="_Toc8652"/>
      <w:bookmarkStart w:id="176" w:name="_Toc1510"/>
      <w:r>
        <w:rPr>
          <w:color w:val="auto"/>
        </w:rPr>
        <w:t>水域滩涂承载力评价</w:t>
      </w:r>
      <w:bookmarkEnd w:id="172"/>
      <w:bookmarkEnd w:id="173"/>
      <w:bookmarkEnd w:id="174"/>
      <w:bookmarkEnd w:id="175"/>
      <w:bookmarkEnd w:id="176"/>
    </w:p>
    <w:p w14:paraId="66A58235">
      <w:pPr>
        <w:pStyle w:val="11"/>
        <w:jc w:val="both"/>
        <w:rPr>
          <w:rFonts w:hint="default" w:ascii="Times New Roman" w:hAnsi="Times New Roman" w:eastAsia="宋体" w:cs="Times New Roman"/>
          <w:sz w:val="28"/>
          <w:szCs w:val="28"/>
          <w:lang w:val="en-US" w:eastAsia="zh-CN"/>
        </w:rPr>
      </w:pPr>
      <w:r>
        <w:rPr>
          <w:rFonts w:hint="eastAsia" w:cs="Times New Roman"/>
          <w:sz w:val="28"/>
          <w:szCs w:val="28"/>
          <w:lang w:eastAsia="zh-CN"/>
        </w:rPr>
        <w:t>友好区</w:t>
      </w:r>
      <w:r>
        <w:rPr>
          <w:rFonts w:ascii="Times New Roman" w:hAnsi="Times New Roman" w:eastAsia="宋体" w:cs="Times New Roman"/>
          <w:sz w:val="28"/>
          <w:szCs w:val="28"/>
          <w:lang w:val="en-US" w:eastAsia="zh-CN"/>
        </w:rPr>
        <w:t>自然水域</w:t>
      </w:r>
      <w:r>
        <w:rPr>
          <w:rFonts w:hint="eastAsia" w:cs="Times New Roman"/>
          <w:sz w:val="28"/>
          <w:szCs w:val="28"/>
          <w:lang w:val="en-US" w:eastAsia="zh-CN"/>
        </w:rPr>
        <w:t>水域滩涂资源丰富，水文气候适配冷水渔业，</w:t>
      </w:r>
      <w:r>
        <w:rPr>
          <w:rFonts w:hint="default" w:ascii="Times New Roman" w:hAnsi="Times New Roman" w:eastAsia="宋体" w:cs="Times New Roman"/>
          <w:sz w:val="28"/>
          <w:szCs w:val="28"/>
          <w:lang w:val="en-US" w:eastAsia="zh-CN"/>
        </w:rPr>
        <w:t>水质状况良好，水生生物</w:t>
      </w:r>
      <w:r>
        <w:rPr>
          <w:rFonts w:hint="eastAsia" w:cs="Times New Roman"/>
          <w:sz w:val="28"/>
          <w:szCs w:val="28"/>
          <w:lang w:val="en-US" w:eastAsia="zh-CN"/>
        </w:rPr>
        <w:t>多样性高，水域环境质量优良</w:t>
      </w:r>
      <w:r>
        <w:rPr>
          <w:rFonts w:hint="default" w:ascii="Times New Roman" w:hAnsi="Times New Roman" w:eastAsia="宋体" w:cs="Times New Roman"/>
          <w:sz w:val="28"/>
          <w:szCs w:val="28"/>
          <w:lang w:val="en-US" w:eastAsia="zh-CN"/>
        </w:rPr>
        <w:t>。养殖模式主要有池塘养殖、泡沼养殖，养殖产量都在水域环境承载范围</w:t>
      </w:r>
      <w:r>
        <w:rPr>
          <w:rFonts w:hint="default" w:ascii="Times New Roman" w:hAnsi="Times New Roman" w:eastAsia="宋体" w:cs="Times New Roman"/>
          <w:color w:val="auto"/>
          <w:sz w:val="28"/>
          <w:szCs w:val="28"/>
          <w:lang w:val="en-US" w:eastAsia="zh-CN"/>
        </w:rPr>
        <w:t>内，未对水域环境造成压力。</w:t>
      </w:r>
    </w:p>
    <w:p w14:paraId="1314B577">
      <w:pPr>
        <w:keepNext w:val="0"/>
        <w:keepLines w:val="0"/>
        <w:widowControl/>
        <w:suppressLineNumbers w:val="0"/>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     </w:t>
      </w:r>
      <w:r>
        <w:rPr>
          <w:rFonts w:ascii="浠垮畫" w:hAnsi="浠垮畫" w:eastAsia="浠垮畫" w:cs="浠垮畫"/>
          <w:color w:val="000000"/>
          <w:kern w:val="0"/>
          <w:sz w:val="28"/>
          <w:szCs w:val="28"/>
          <w:lang w:val="en-US" w:eastAsia="zh-CN" w:bidi="ar"/>
        </w:rPr>
        <w:t>评价结论：</w:t>
      </w:r>
      <w:r>
        <w:rPr>
          <w:rFonts w:hint="eastAsia" w:ascii="浠垮畫" w:hAnsi="浠垮畫" w:eastAsia="浠垮畫" w:cs="浠垮畫"/>
          <w:color w:val="000000"/>
          <w:kern w:val="0"/>
          <w:sz w:val="28"/>
          <w:szCs w:val="28"/>
          <w:lang w:val="en-US" w:eastAsia="zh-CN" w:bidi="ar"/>
        </w:rPr>
        <w:t>从水域滩涂资源、水文气候条件、水生生物资源、水域环境状况</w:t>
      </w:r>
      <w:r>
        <w:rPr>
          <w:rFonts w:ascii="浠垮畫" w:hAnsi="浠垮畫" w:eastAsia="浠垮畫" w:cs="浠垮畫"/>
          <w:color w:val="000000"/>
          <w:kern w:val="0"/>
          <w:sz w:val="28"/>
          <w:szCs w:val="28"/>
          <w:lang w:val="en-US" w:eastAsia="zh-CN" w:bidi="ar"/>
        </w:rPr>
        <w:t>结合</w:t>
      </w:r>
      <w:r>
        <w:rPr>
          <w:rFonts w:hint="eastAsia" w:ascii="浠垮畫" w:hAnsi="浠垮畫" w:eastAsia="浠垮畫" w:cs="浠垮畫"/>
          <w:color w:val="000000"/>
          <w:kern w:val="0"/>
          <w:sz w:val="28"/>
          <w:szCs w:val="28"/>
          <w:lang w:val="en-US" w:eastAsia="zh-CN" w:bidi="ar"/>
        </w:rPr>
        <w:t>伊美区当前渔业现状</w:t>
      </w:r>
      <w:r>
        <w:rPr>
          <w:rFonts w:hint="default" w:ascii="浠垮畫" w:hAnsi="浠垮畫" w:eastAsia="浠垮畫" w:cs="浠垮畫"/>
          <w:color w:val="000000"/>
          <w:kern w:val="0"/>
          <w:sz w:val="28"/>
          <w:szCs w:val="28"/>
          <w:lang w:val="en-US" w:eastAsia="zh-CN" w:bidi="ar"/>
        </w:rPr>
        <w:t>发展</w:t>
      </w:r>
      <w:r>
        <w:rPr>
          <w:rFonts w:hint="eastAsia" w:ascii="浠垮畫" w:hAnsi="浠垮畫" w:eastAsia="浠垮畫" w:cs="浠垮畫"/>
          <w:color w:val="000000"/>
          <w:kern w:val="0"/>
          <w:sz w:val="28"/>
          <w:szCs w:val="28"/>
          <w:lang w:val="en-US" w:eastAsia="zh-CN" w:bidi="ar"/>
        </w:rPr>
        <w:t>等因素来看</w:t>
      </w:r>
      <w:r>
        <w:rPr>
          <w:rFonts w:hint="default" w:ascii="浠垮畫" w:hAnsi="浠垮畫" w:eastAsia="浠垮畫" w:cs="浠垮畫"/>
          <w:color w:val="000000"/>
          <w:kern w:val="0"/>
          <w:sz w:val="28"/>
          <w:szCs w:val="28"/>
          <w:lang w:val="en-US" w:eastAsia="zh-CN" w:bidi="ar"/>
        </w:rPr>
        <w:t>，</w:t>
      </w:r>
      <w:r>
        <w:rPr>
          <w:rFonts w:hint="eastAsia" w:ascii="浠垮畫" w:hAnsi="浠垮畫" w:eastAsia="浠垮畫" w:cs="浠垮畫"/>
          <w:color w:val="000000"/>
          <w:kern w:val="0"/>
          <w:sz w:val="28"/>
          <w:szCs w:val="28"/>
          <w:lang w:val="en-US" w:eastAsia="zh-CN" w:bidi="ar"/>
        </w:rPr>
        <w:t>友好区</w:t>
      </w:r>
      <w:r>
        <w:rPr>
          <w:rFonts w:hint="default" w:ascii="浠垮畫" w:hAnsi="浠垮畫" w:eastAsia="浠垮畫" w:cs="浠垮畫"/>
          <w:color w:val="000000"/>
          <w:kern w:val="0"/>
          <w:sz w:val="28"/>
          <w:szCs w:val="28"/>
          <w:lang w:val="en-US" w:eastAsia="zh-CN" w:bidi="ar"/>
        </w:rPr>
        <w:t>水域仍具备一定的渔业发展空间。未来，渔业产业应坚守绿色、健康与可持续发展道路，在有效控制养殖业对周边环境及水体污染影响的前提下，实现养殖产能提升与生态环境保护的有机统一，推动渔业高质量发展。</w:t>
      </w:r>
      <w:r>
        <w:rPr>
          <w:rFonts w:hint="default" w:ascii="Times New Roman" w:hAnsi="Times New Roman" w:eastAsia="宋体" w:cs="Times New Roman"/>
          <w:sz w:val="28"/>
          <w:szCs w:val="28"/>
          <w:lang w:val="en-US" w:eastAsia="zh-CN"/>
        </w:rPr>
        <w:t xml:space="preserve"> </w:t>
      </w:r>
      <w:r>
        <w:rPr>
          <w:rFonts w:hint="eastAsia" w:cs="Times New Roman"/>
          <w:sz w:val="28"/>
          <w:szCs w:val="28"/>
          <w:lang w:val="en-US" w:eastAsia="zh-CN"/>
        </w:rPr>
        <w:t>建议</w:t>
      </w:r>
      <w:r>
        <w:rPr>
          <w:rFonts w:hint="default" w:ascii="Times New Roman" w:hAnsi="Times New Roman" w:eastAsia="宋体" w:cs="Times New Roman"/>
          <w:sz w:val="28"/>
          <w:szCs w:val="28"/>
          <w:lang w:val="en-US" w:eastAsia="zh-CN"/>
        </w:rPr>
        <w:t>如下：</w:t>
      </w:r>
    </w:p>
    <w:p w14:paraId="00CC3ADF">
      <w:pPr>
        <w:pStyle w:val="11"/>
        <w:numPr>
          <w:ilvl w:val="0"/>
          <w:numId w:val="21"/>
        </w:numPr>
        <w:ind w:left="0" w:leftChars="0" w:firstLine="560" w:firstLineChars="200"/>
        <w:jc w:val="both"/>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分区管控，精准开发</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实施分区分类管控，对自然保护区核心区及珍稀水生生物栖息地严格禁止养殖开发、强化生态修复与常态化监测；</w:t>
      </w:r>
    </w:p>
    <w:p w14:paraId="7ACF1465">
      <w:pPr>
        <w:pStyle w:val="11"/>
        <w:numPr>
          <w:ilvl w:val="0"/>
          <w:numId w:val="21"/>
        </w:numPr>
        <w:ind w:left="0" w:leftChars="0"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突破瓶颈，提升效益</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依托境内闲置泡沼、平缓支流等适宜水域，适度发展细鳞鱼、哲罗鱼等特色冷水鱼生态养殖，推行低密度仿自然养殖模式，严控养殖尾水排放与养殖规模；</w:t>
      </w:r>
    </w:p>
    <w:p w14:paraId="538AB3A4">
      <w:pPr>
        <w:pStyle w:val="11"/>
        <w:numPr>
          <w:ilvl w:val="0"/>
          <w:numId w:val="21"/>
        </w:numPr>
        <w:ind w:left="0" w:leftChars="0"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生态优先，长效保护</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依托城区周边河湖水域适度培育休闲垂钓、渔事体验等休闲渔业业态，同步完善偏远水域交通、水电及养殖配套基础设施，引入冷水鱼繁育与生态养殖专业技术，打造本地冷水鱼特色公共品牌，同时严格落实河湖长制，常态化开展水质、底质及水生生物资源监测，建立水域滩涂承载力预警机制，统筹渔业产业发展与水生态保护，实现资源合理利用、生态持续向好与产业提质增效协同发展。</w:t>
      </w:r>
    </w:p>
    <w:p w14:paraId="3764A183">
      <w:pPr>
        <w:pStyle w:val="3"/>
        <w:numPr>
          <w:ilvl w:val="0"/>
          <w:numId w:val="15"/>
        </w:numPr>
        <w:ind w:left="0" w:leftChars="0" w:firstLine="600" w:firstLineChars="200"/>
        <w:jc w:val="both"/>
        <w:rPr>
          <w:b w:val="0"/>
        </w:rPr>
      </w:pPr>
      <w:bookmarkStart w:id="177" w:name="_Toc1894"/>
      <w:bookmarkStart w:id="178" w:name="_Toc32407"/>
      <w:bookmarkStart w:id="179" w:name="_Toc26591"/>
      <w:bookmarkStart w:id="180" w:name="_Toc31907"/>
      <w:bookmarkStart w:id="181" w:name="_Toc32487"/>
      <w:bookmarkStart w:id="182" w:name="_Toc4097"/>
      <w:bookmarkStart w:id="183" w:name="_Toc20015"/>
      <w:bookmarkStart w:id="184" w:name="_Toc21796"/>
      <w:bookmarkStart w:id="185" w:name="_Toc21525"/>
      <w:r>
        <w:t>水产养殖产业发展分析</w:t>
      </w:r>
      <w:bookmarkEnd w:id="177"/>
      <w:bookmarkEnd w:id="178"/>
      <w:bookmarkEnd w:id="179"/>
      <w:bookmarkEnd w:id="180"/>
      <w:bookmarkEnd w:id="181"/>
      <w:bookmarkEnd w:id="182"/>
      <w:bookmarkEnd w:id="183"/>
      <w:bookmarkEnd w:id="184"/>
      <w:bookmarkEnd w:id="185"/>
    </w:p>
    <w:p w14:paraId="5087EBAA">
      <w:pPr>
        <w:pStyle w:val="4"/>
        <w:numPr>
          <w:ilvl w:val="0"/>
          <w:numId w:val="22"/>
        </w:numPr>
        <w:ind w:left="0" w:leftChars="0" w:firstLine="600" w:firstLineChars="200"/>
        <w:jc w:val="both"/>
        <w:rPr>
          <w:b w:val="0"/>
        </w:rPr>
      </w:pPr>
      <w:bookmarkStart w:id="186" w:name="_Toc21770"/>
      <w:bookmarkStart w:id="187" w:name="_Toc25860"/>
      <w:bookmarkStart w:id="188" w:name="_Toc8893"/>
      <w:bookmarkStart w:id="189" w:name="_Toc32516"/>
      <w:bookmarkStart w:id="190" w:name="_Toc27292"/>
      <w:r>
        <w:t>水产养殖发展现状</w:t>
      </w:r>
      <w:bookmarkEnd w:id="186"/>
      <w:bookmarkEnd w:id="187"/>
      <w:bookmarkEnd w:id="188"/>
      <w:bookmarkEnd w:id="189"/>
      <w:bookmarkEnd w:id="190"/>
    </w:p>
    <w:p w14:paraId="7C8AEC49">
      <w:pPr>
        <w:pStyle w:val="5"/>
        <w:numPr>
          <w:ilvl w:val="0"/>
          <w:numId w:val="23"/>
        </w:numPr>
        <w:ind w:left="0" w:leftChars="0" w:firstLine="560" w:firstLineChars="200"/>
        <w:jc w:val="both"/>
        <w:rPr>
          <w:b w:val="0"/>
        </w:rPr>
      </w:pPr>
      <w:r>
        <w:t>现有养殖区域</w:t>
      </w:r>
    </w:p>
    <w:p w14:paraId="71B73128">
      <w:pPr>
        <w:pStyle w:val="11"/>
        <w:ind w:leftChars="0" w:firstLine="560" w:firstLineChars="200"/>
        <w:jc w:val="both"/>
        <w:rPr>
          <w:rFonts w:ascii="Times New Roman" w:hAnsi="Times New Roman" w:eastAsia="宋体" w:cs="Times New Roman"/>
          <w:sz w:val="28"/>
          <w:szCs w:val="28"/>
        </w:rPr>
      </w:pPr>
      <w:r>
        <w:rPr>
          <w:rFonts w:hint="eastAsia" w:cs="Times New Roman"/>
          <w:sz w:val="28"/>
          <w:szCs w:val="28"/>
          <w:lang w:eastAsia="zh-CN"/>
        </w:rPr>
        <w:t>友好区</w:t>
      </w:r>
      <w:r>
        <w:rPr>
          <w:rFonts w:ascii="Times New Roman" w:hAnsi="Times New Roman" w:eastAsia="宋体" w:cs="Times New Roman"/>
          <w:sz w:val="28"/>
          <w:szCs w:val="28"/>
        </w:rPr>
        <w:t>现有养殖区域</w:t>
      </w:r>
      <w:r>
        <w:rPr>
          <w:rFonts w:ascii="Times New Roman" w:hAnsi="Times New Roman" w:eastAsia="宋体" w:cs="Times New Roman"/>
          <w:sz w:val="28"/>
          <w:szCs w:val="28"/>
          <w:lang w:val="en-US" w:eastAsia="zh-CN"/>
        </w:rPr>
        <w:t>主要分为分布区域</w:t>
      </w:r>
      <w:r>
        <w:rPr>
          <w:rFonts w:hint="eastAsia" w:cs="Times New Roman"/>
          <w:sz w:val="28"/>
          <w:szCs w:val="28"/>
          <w:lang w:val="en-US" w:eastAsia="zh-CN"/>
        </w:rPr>
        <w:t>为上甘岭镇、</w:t>
      </w:r>
      <w:r>
        <w:rPr>
          <w:rFonts w:ascii="Times New Roman" w:hAnsi="Times New Roman" w:eastAsia="宋体" w:cs="Times New Roman"/>
          <w:sz w:val="28"/>
          <w:szCs w:val="28"/>
          <w:lang w:val="en-US" w:eastAsia="zh-CN"/>
        </w:rPr>
        <w:t>双子河</w:t>
      </w:r>
      <w:r>
        <w:rPr>
          <w:rFonts w:hint="eastAsia" w:cs="Times New Roman"/>
          <w:sz w:val="28"/>
          <w:szCs w:val="28"/>
          <w:lang w:val="en-US" w:eastAsia="zh-CN"/>
        </w:rPr>
        <w:t>街道</w:t>
      </w:r>
      <w:r>
        <w:rPr>
          <w:rFonts w:ascii="Times New Roman" w:hAnsi="Times New Roman" w:eastAsia="宋体" w:cs="Times New Roman"/>
          <w:sz w:val="28"/>
          <w:szCs w:val="28"/>
          <w:lang w:val="en-US" w:eastAsia="zh-CN"/>
        </w:rPr>
        <w:t>、友好街道。冷水鱼养殖区域作为核心养殖区，重点布局在上甘岭镇，零散分布于双子河镇、友好街道周边，依托汤旺河、友好河、双子河等优质冷水资源及青山水库等湖库条件开展养殖；林蛙养殖区域为特色养殖区，集中在上甘岭镇，部分林场周边有少量散户分布</w:t>
      </w:r>
      <w:r>
        <w:rPr>
          <w:rFonts w:hint="eastAsia" w:cs="Times New Roman"/>
          <w:sz w:val="28"/>
          <w:szCs w:val="28"/>
          <w:lang w:val="en-US" w:eastAsia="zh-CN"/>
        </w:rPr>
        <w:t>。</w:t>
      </w:r>
    </w:p>
    <w:p w14:paraId="23DCAC20">
      <w:pPr>
        <w:pStyle w:val="5"/>
        <w:numPr>
          <w:ilvl w:val="0"/>
          <w:numId w:val="23"/>
        </w:numPr>
        <w:ind w:left="0" w:leftChars="0" w:firstLine="560" w:firstLineChars="200"/>
        <w:jc w:val="both"/>
        <w:rPr>
          <w:b w:val="0"/>
        </w:rPr>
      </w:pPr>
      <w:r>
        <w:t>养殖方式和养殖品种</w:t>
      </w:r>
    </w:p>
    <w:p w14:paraId="671D9F72">
      <w:pPr>
        <w:pStyle w:val="11"/>
        <w:ind w:leftChars="0" w:firstLine="560" w:firstLineChars="200"/>
        <w:jc w:val="both"/>
        <w:rPr>
          <w:rFonts w:hint="eastAsia" w:cs="Times New Roman"/>
          <w:sz w:val="28"/>
          <w:szCs w:val="28"/>
          <w:lang w:val="en-US" w:eastAsia="zh-CN"/>
        </w:rPr>
      </w:pPr>
      <w:r>
        <w:rPr>
          <w:rFonts w:ascii="Times New Roman" w:hAnsi="Times New Roman" w:eastAsia="宋体" w:cs="Times New Roman"/>
          <w:sz w:val="28"/>
          <w:szCs w:val="28"/>
        </w:rPr>
        <w:t>目前，</w:t>
      </w:r>
      <w:r>
        <w:rPr>
          <w:rFonts w:hint="eastAsia" w:cs="Times New Roman"/>
          <w:sz w:val="28"/>
          <w:szCs w:val="28"/>
          <w:lang w:eastAsia="zh-CN"/>
        </w:rPr>
        <w:t>友好区</w:t>
      </w:r>
      <w:r>
        <w:rPr>
          <w:rFonts w:ascii="Times New Roman" w:hAnsi="Times New Roman" w:eastAsia="宋体" w:cs="Times New Roman"/>
          <w:sz w:val="28"/>
          <w:szCs w:val="28"/>
        </w:rPr>
        <w:t>水产养殖包括池塘养殖、湖泊养殖、水库养殖。</w:t>
      </w:r>
      <w:r>
        <w:rPr>
          <w:rFonts w:ascii="Times New Roman" w:hAnsi="Times New Roman" w:eastAsia="宋体" w:cs="Times New Roman"/>
          <w:sz w:val="28"/>
          <w:szCs w:val="28"/>
          <w:lang w:val="en-US" w:eastAsia="zh-CN"/>
        </w:rPr>
        <w:t>标准化池塘精养，主要应用于规模化养殖基地，配套建设精养池、苗种池及尾水净化区，配备专业的增氧、投喂、水质监测系统，实现全程科学管控，重点保障冷水鱼养殖品质</w:t>
      </w:r>
      <w:r>
        <w:rPr>
          <w:rFonts w:hint="eastAsia" w:cs="Times New Roman"/>
          <w:sz w:val="28"/>
          <w:szCs w:val="28"/>
          <w:lang w:val="en-US" w:eastAsia="zh-CN"/>
        </w:rPr>
        <w:t>；生态粗放养殖，零散分布于双子河沿线林场及城区周边，依托山泉水、河流水自然补给，采用低密度混养模式，减少人工干预，保持自然生长状态；特色专项养殖，其中林蛙采用全人工规模化养殖与半人工散户养殖相结合的方式。</w:t>
      </w:r>
    </w:p>
    <w:p w14:paraId="2EA94B54">
      <w:pPr>
        <w:pStyle w:val="11"/>
        <w:ind w:leftChars="0" w:firstLine="560" w:firstLineChars="200"/>
        <w:jc w:val="both"/>
        <w:rPr>
          <w:rFonts w:ascii="Times New Roman" w:hAnsi="Times New Roman" w:eastAsia="宋体" w:cs="Times New Roman"/>
          <w:sz w:val="24"/>
          <w:szCs w:val="24"/>
        </w:rPr>
      </w:pPr>
      <w:r>
        <w:rPr>
          <w:rFonts w:hint="eastAsia" w:cs="Times New Roman"/>
          <w:sz w:val="28"/>
          <w:szCs w:val="28"/>
          <w:lang w:val="en-US" w:eastAsia="zh-CN"/>
        </w:rPr>
        <w:t>养殖品种</w:t>
      </w:r>
      <w:r>
        <w:rPr>
          <w:rFonts w:ascii="Times New Roman" w:hAnsi="Times New Roman" w:eastAsia="宋体" w:cs="Times New Roman"/>
          <w:sz w:val="28"/>
          <w:szCs w:val="28"/>
          <w:lang w:val="en-US" w:eastAsia="zh-CN"/>
        </w:rPr>
        <w:t>主要有鳌花（鳜鱼）、细鳞鱼、哲罗鱼、大白鱼、方正银鲫、柳根鱼、黑龙江茴鱼等，其中细鳞鱼、哲罗鱼为国家重点保护冷水珍稀物种，鳌花、大白鱼等为高端经济品种；常规养殖鱼类主要包括鲤、鲫、草、鲢等，适配本地市场需求；特色养殖品种以林蛙为主，是区域水产养殖的核心品类，同时少量养殖冷水虾、北极虾、秀丽白虾等特色品种，部分区域试点开展莲藕与小龙虾套养，丰富养殖品类。</w:t>
      </w:r>
    </w:p>
    <w:p w14:paraId="44D38613">
      <w:pPr>
        <w:pStyle w:val="5"/>
        <w:numPr>
          <w:ilvl w:val="0"/>
          <w:numId w:val="23"/>
        </w:numPr>
        <w:ind w:left="0" w:leftChars="0" w:firstLine="560" w:firstLineChars="200"/>
        <w:jc w:val="both"/>
        <w:rPr>
          <w:b w:val="0"/>
        </w:rPr>
      </w:pPr>
      <w:r>
        <w:t>养殖产量</w:t>
      </w:r>
      <w:r>
        <w:rPr>
          <w:rFonts w:hint="eastAsia"/>
          <w:lang w:eastAsia="zh-CN"/>
        </w:rPr>
        <w:t>、</w:t>
      </w:r>
      <w:r>
        <w:rPr>
          <w:rFonts w:hint="eastAsia"/>
          <w:lang w:val="en-US" w:eastAsia="zh-CN"/>
        </w:rPr>
        <w:t>产值效益</w:t>
      </w:r>
    </w:p>
    <w:p w14:paraId="75998926">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2024年</w:t>
      </w:r>
      <w:r>
        <w:rPr>
          <w:rFonts w:ascii="Times New Roman" w:hAnsi="Times New Roman" w:eastAsia="宋体" w:cs="Times New Roman"/>
          <w:sz w:val="28"/>
          <w:szCs w:val="28"/>
          <w:lang w:val="en-US" w:eastAsia="zh-CN"/>
        </w:rPr>
        <w:t>全区水域养殖总面积达1100亩</w:t>
      </w:r>
      <w:r>
        <w:rPr>
          <w:rFonts w:hint="eastAsia" w:cs="Times New Roman"/>
          <w:sz w:val="28"/>
          <w:szCs w:val="28"/>
          <w:lang w:val="en-US" w:eastAsia="zh-CN"/>
        </w:rPr>
        <w:t>左右</w:t>
      </w:r>
      <w:r>
        <w:rPr>
          <w:rFonts w:ascii="Times New Roman" w:hAnsi="Times New Roman" w:eastAsia="宋体" w:cs="Times New Roman"/>
          <w:sz w:val="28"/>
          <w:szCs w:val="28"/>
          <w:lang w:val="en-US" w:eastAsia="zh-CN"/>
        </w:rPr>
        <w:t>，常规渔业年产量</w:t>
      </w:r>
      <w:r>
        <w:rPr>
          <w:rFonts w:hint="eastAsia" w:cs="Times New Roman"/>
          <w:sz w:val="28"/>
          <w:szCs w:val="28"/>
          <w:lang w:val="en-US" w:eastAsia="zh-CN"/>
        </w:rPr>
        <w:t>约</w:t>
      </w:r>
      <w:r>
        <w:rPr>
          <w:rFonts w:ascii="Times New Roman" w:hAnsi="Times New Roman" w:eastAsia="宋体" w:cs="Times New Roman"/>
          <w:sz w:val="28"/>
          <w:szCs w:val="28"/>
          <w:lang w:val="en-US" w:eastAsia="zh-CN"/>
        </w:rPr>
        <w:t>1030吨，其中林蛙产量</w:t>
      </w:r>
      <w:r>
        <w:rPr>
          <w:rFonts w:hint="eastAsia" w:cs="Times New Roman"/>
          <w:sz w:val="28"/>
          <w:szCs w:val="28"/>
          <w:lang w:val="en-US" w:eastAsia="zh-CN"/>
        </w:rPr>
        <w:t>约</w:t>
      </w:r>
      <w:r>
        <w:rPr>
          <w:rFonts w:ascii="Times New Roman" w:hAnsi="Times New Roman" w:eastAsia="宋体" w:cs="Times New Roman"/>
          <w:sz w:val="28"/>
          <w:szCs w:val="28"/>
          <w:lang w:val="en-US" w:eastAsia="zh-CN"/>
        </w:rPr>
        <w:t>660吨，占渔业总产量的64%，冷水鱼及其他水产品产量</w:t>
      </w:r>
      <w:r>
        <w:rPr>
          <w:rFonts w:hint="eastAsia" w:cs="Times New Roman"/>
          <w:sz w:val="28"/>
          <w:szCs w:val="28"/>
          <w:lang w:val="en-US" w:eastAsia="zh-CN"/>
        </w:rPr>
        <w:t>约</w:t>
      </w:r>
      <w:r>
        <w:rPr>
          <w:rFonts w:ascii="Times New Roman" w:hAnsi="Times New Roman" w:eastAsia="宋体" w:cs="Times New Roman"/>
          <w:sz w:val="28"/>
          <w:szCs w:val="28"/>
          <w:lang w:val="en-US" w:eastAsia="zh-CN"/>
        </w:rPr>
        <w:t>370吨。</w:t>
      </w:r>
      <w:r>
        <w:rPr>
          <w:rFonts w:ascii="Times New Roman" w:hAnsi="Times New Roman" w:eastAsia="宋体" w:cs="Times New Roman"/>
          <w:kern w:val="2"/>
          <w:sz w:val="28"/>
          <w:szCs w:val="28"/>
          <w:lang w:val="en-US" w:eastAsia="zh-CN" w:bidi="ar-SA"/>
        </w:rPr>
        <w:t>2024年渔业产值达0.82亿元，同比增长35.4%</w:t>
      </w:r>
      <w:r>
        <w:rPr>
          <w:rFonts w:hint="eastAsia" w:cs="Times New Roman"/>
          <w:kern w:val="2"/>
          <w:sz w:val="28"/>
          <w:szCs w:val="28"/>
          <w:lang w:val="en-US" w:eastAsia="zh-CN" w:bidi="ar-SA"/>
        </w:rPr>
        <w:t>。</w:t>
      </w:r>
    </w:p>
    <w:p w14:paraId="2AAEEA2E">
      <w:pPr>
        <w:pStyle w:val="4"/>
        <w:numPr>
          <w:ilvl w:val="0"/>
          <w:numId w:val="22"/>
        </w:numPr>
        <w:ind w:left="0" w:leftChars="0" w:firstLine="600" w:firstLineChars="200"/>
        <w:jc w:val="both"/>
        <w:rPr>
          <w:b w:val="0"/>
        </w:rPr>
      </w:pPr>
      <w:bookmarkStart w:id="191" w:name="_Toc25170"/>
      <w:bookmarkStart w:id="192" w:name="_Toc26845"/>
      <w:bookmarkStart w:id="193" w:name="_Toc22227"/>
      <w:bookmarkStart w:id="194" w:name="_Toc32696"/>
      <w:bookmarkStart w:id="195" w:name="_Toc24651"/>
      <w:r>
        <w:t>区域经济发展方向</w:t>
      </w:r>
      <w:bookmarkEnd w:id="191"/>
      <w:bookmarkEnd w:id="192"/>
      <w:bookmarkEnd w:id="193"/>
      <w:bookmarkEnd w:id="194"/>
      <w:bookmarkEnd w:id="195"/>
    </w:p>
    <w:p w14:paraId="6799E30E">
      <w:pPr>
        <w:pStyle w:val="5"/>
        <w:numPr>
          <w:ilvl w:val="0"/>
          <w:numId w:val="24"/>
        </w:numPr>
        <w:ind w:left="0" w:leftChars="0" w:firstLine="560" w:firstLineChars="200"/>
        <w:jc w:val="both"/>
        <w:rPr>
          <w:b w:val="0"/>
        </w:rPr>
      </w:pPr>
      <w:r>
        <w:rPr>
          <w:rFonts w:hint="eastAsia"/>
          <w:b w:val="0"/>
          <w:lang w:val="en-US" w:eastAsia="zh-CN"/>
        </w:rPr>
        <w:t>区位条件</w:t>
      </w:r>
    </w:p>
    <w:p w14:paraId="0DBE0A78">
      <w:pPr>
        <w:pStyle w:val="11"/>
        <w:widowControl/>
        <w:ind w:left="0" w:leftChars="0" w:firstLine="560" w:firstLineChars="200"/>
        <w:jc w:val="both"/>
        <w:rPr>
          <w:rFonts w:ascii="Times New Roman" w:hAnsi="Times New Roman" w:eastAsia="宋体" w:cs="Times New Roman"/>
          <w:sz w:val="28"/>
          <w:szCs w:val="28"/>
        </w:rPr>
      </w:pPr>
      <w:r>
        <w:rPr>
          <w:rFonts w:hint="eastAsia" w:cs="Times New Roman"/>
          <w:sz w:val="28"/>
          <w:szCs w:val="28"/>
          <w:lang w:eastAsia="zh-CN"/>
        </w:rPr>
        <w:t>友好区</w:t>
      </w:r>
      <w:r>
        <w:rPr>
          <w:rFonts w:ascii="Times New Roman" w:hAnsi="Times New Roman" w:eastAsia="宋体" w:cs="Times New Roman"/>
          <w:sz w:val="28"/>
          <w:szCs w:val="28"/>
        </w:rPr>
        <w:t>坐落于小兴安岭腹地，森林覆盖率高达90%以上，素有“中国天然氧吧”之称，区域内工业布局稀少，几乎无工业污染，为水域产品养殖提供了天然洁净的生态环境。境内河流源头活水，水体清澈透明、溶解氧含量高、矿物质种类丰富，无需额外人工净化，就能满足各类水域产品的生长需求，尤其适合冷水鱼、林蛙等品种养殖。同时，区域内河网密布、水资源总量充沛，既有开阔的河谷滩地可建设标准化池塘，也有密布的山涧溪流可开展仿生态养殖，多样化的水源条件适配池塘精养、流水养殖、网箱养殖等多种模式，为养殖产业多元化发展提供了基础保障。</w:t>
      </w:r>
    </w:p>
    <w:p w14:paraId="2C35CD18">
      <w:pPr>
        <w:pStyle w:val="5"/>
        <w:numPr>
          <w:ilvl w:val="0"/>
          <w:numId w:val="24"/>
        </w:numPr>
        <w:ind w:left="0" w:leftChars="0" w:firstLine="560" w:firstLineChars="200"/>
        <w:jc w:val="both"/>
        <w:rPr>
          <w:b w:val="0"/>
        </w:rPr>
      </w:pPr>
      <w:r>
        <w:rPr>
          <w:rFonts w:hint="eastAsia"/>
          <w:b w:val="0"/>
          <w:lang w:val="en-US" w:eastAsia="zh-CN"/>
        </w:rPr>
        <w:t>经济总量</w:t>
      </w:r>
    </w:p>
    <w:p w14:paraId="16A845A7">
      <w:pPr>
        <w:keepNext w:val="0"/>
        <w:keepLines w:val="0"/>
        <w:widowControl/>
        <w:suppressLineNumbers w:val="0"/>
        <w:ind w:firstLine="560" w:firstLineChars="200"/>
        <w:jc w:val="left"/>
      </w:pPr>
      <w:r>
        <w:rPr>
          <w:rFonts w:ascii="Times New Roman" w:hAnsi="Times New Roman" w:eastAsia="宋体" w:cs="Times New Roman"/>
          <w:kern w:val="2"/>
          <w:sz w:val="28"/>
          <w:szCs w:val="28"/>
          <w:lang w:val="en-US" w:eastAsia="zh-CN" w:bidi="ar-SA"/>
        </w:rPr>
        <w:t>近年来，全区地区生产总值（GDP）逐年稳步提升，从2020年的17.27亿元，逐步增长至2023年的19.48亿元，生态经济主导地位日益凸显，农林牧渔业产值占比接近90%，成为经济总量增长的重要支撑力量</w:t>
      </w:r>
      <w:r>
        <w:rPr>
          <w:rFonts w:hint="eastAsia" w:ascii="Times New Roman" w:hAnsi="Times New Roman" w:eastAsia="宋体"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2024年，友好区经济发展保持稳健增长态势，全年地区生产总值同比增长2%，同步实现固定资产投资增长7%、社会消费品零售总额增长3%、实际利用内资增长36.36%、外贸进出口总额增长49%，各项核心指标协同发力，推动经济总量稳步提升，其中农林牧渔业同比增长7.4%，冷水鱼、林蛙养殖等特色产业成为经济增长的新亮点，进一步夯实了经济总量基础</w:t>
      </w:r>
      <w:r>
        <w:rPr>
          <w:rFonts w:hint="eastAsia" w:cs="Times New Roman"/>
          <w:kern w:val="2"/>
          <w:sz w:val="28"/>
          <w:szCs w:val="28"/>
          <w:lang w:val="en-US" w:eastAsia="zh-CN" w:bidi="ar-SA"/>
        </w:rPr>
        <w:t>。</w:t>
      </w:r>
    </w:p>
    <w:p w14:paraId="31839BFC">
      <w:pPr>
        <w:pStyle w:val="5"/>
        <w:numPr>
          <w:ilvl w:val="0"/>
          <w:numId w:val="24"/>
        </w:numPr>
        <w:ind w:left="0" w:leftChars="0" w:firstLine="560" w:firstLineChars="200"/>
        <w:jc w:val="both"/>
        <w:rPr>
          <w:b w:val="0"/>
        </w:rPr>
      </w:pPr>
      <w:r>
        <w:rPr>
          <w:rFonts w:hint="eastAsia"/>
          <w:b w:val="0"/>
          <w:lang w:val="en-US" w:eastAsia="zh-CN"/>
        </w:rPr>
        <w:t>产业结构</w:t>
      </w:r>
    </w:p>
    <w:p w14:paraId="23B14568">
      <w:pPr>
        <w:keepNext w:val="0"/>
        <w:keepLines w:val="0"/>
        <w:widowControl/>
        <w:suppressLineNumbers w:val="0"/>
        <w:spacing w:line="360" w:lineRule="auto"/>
        <w:ind w:firstLine="560" w:firstLineChars="200"/>
        <w:jc w:val="left"/>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8"/>
          <w:lang w:val="en-US" w:eastAsia="zh-CN" w:bidi="ar-SA"/>
        </w:rPr>
        <w:t>友好区渔业第一产业是整个渔业产业结构的根基，以生态化、规模化养殖为核心，依托区域优质冷水资源和优良水环境，聚焦冷水鱼和林蛙养殖，形成了“龙头企业引领、零散养殖补充”的发展格局。养殖主体方面，以黑龙江伊蓝生物科技有限公司、双盈畜禽养殖场、伊春森工上甘岭林业局溪水村养殖基地为核心，其中伊蓝生物建成标准化冷水鱼养殖基地，主养鳌花、细鳞鱼、大白鱼等6种名贵冷水鱼，年产水产品约50吨；双盈畜禽养殖场作为全市唯一林蛙全人工养殖企业，建成养殖大棚，预计年林蛙出栏20吨。零散养殖点分布于双子河沿线林场、友好城区周边，以小型池塘养殖为主，主养鲤、鲫等常规鱼类及少量冷水鱼，按需供应本地市场。</w:t>
      </w:r>
    </w:p>
    <w:p w14:paraId="7869F715">
      <w:pPr>
        <w:keepNext w:val="0"/>
        <w:keepLines w:val="0"/>
        <w:widowControl/>
        <w:suppressLineNumbers w:val="0"/>
        <w:spacing w:line="360" w:lineRule="auto"/>
        <w:ind w:leftChars="0" w:firstLine="560" w:firstLineChars="200"/>
        <w:jc w:val="left"/>
        <w:rPr>
          <w:rFonts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t>友好区渔业第二产业是产业价值链提升的核心支撑，聚焦水产品精深加工，推动渔业从“初级养殖”向“加工增值”转型，破解产业链条短、附加值低的发展短板。产业发展以龙头企业为核心，依托黑龙江伊蓝生物科技有限公司，配套建设速冻生产线、生产加工车间及冷库，重点开发开背鱼、鱼片、鱼柳等速冻食品，烤鱼片、熏鱼片等即食产品及鱼子酱，达产后年生产能力100吨，产值近300万元，有效提升深加工产值占比。同时，推动林蛙制品、冷水鱼深加工产品规模化生产，对接本地餐饮和山特产品市场。</w:t>
      </w:r>
    </w:p>
    <w:p w14:paraId="270BF8D3">
      <w:pPr>
        <w:keepNext w:val="0"/>
        <w:keepLines w:val="0"/>
        <w:widowControl/>
        <w:suppressLineNumbers w:val="0"/>
        <w:spacing w:line="360" w:lineRule="auto"/>
        <w:ind w:leftChars="0" w:firstLine="560" w:firstLineChars="200"/>
        <w:jc w:val="left"/>
        <w:rPr>
          <w:rFonts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t>友好区渔业第三产业是产业融合发展的重要增长点，以“渔业+”多元融合为核心，推动渔业与文旅、电商、服务等业态深度融合，拓展产业发展空间。在核心养殖基地配套建设垂钓平台、休闲步道，打造渔旅融合体验项目，结合区域文旅活动，开展垂钓、冬捕、渔旅研学等活动</w:t>
      </w:r>
      <w:r>
        <w:rPr>
          <w:rFonts w:hint="eastAsia" w:cs="Times New Roman"/>
          <w:kern w:val="2"/>
          <w:sz w:val="28"/>
          <w:szCs w:val="28"/>
          <w:lang w:val="en-US" w:eastAsia="zh-CN" w:bidi="ar-SA"/>
        </w:rPr>
        <w:t>；同时，</w:t>
      </w:r>
      <w:r>
        <w:rPr>
          <w:rFonts w:ascii="Times New Roman" w:hAnsi="Times New Roman" w:eastAsia="宋体" w:cs="Times New Roman"/>
          <w:kern w:val="2"/>
          <w:sz w:val="28"/>
          <w:szCs w:val="28"/>
          <w:lang w:val="en-US" w:eastAsia="zh-CN" w:bidi="ar-SA"/>
        </w:rPr>
        <w:t>依托原本自然现代产业园的电商平台，培育直播电商、网红电商等新业态，推动冷水鱼、林蛙等特色水产品线上销售，拓宽销售渠道，助力渔业产品走向全国市场。</w:t>
      </w:r>
    </w:p>
    <w:p w14:paraId="76071C2B">
      <w:pPr>
        <w:keepNext w:val="0"/>
        <w:keepLines w:val="0"/>
        <w:widowControl/>
        <w:suppressLineNumbers w:val="0"/>
        <w:spacing w:line="360" w:lineRule="auto"/>
        <w:ind w:leftChars="0" w:firstLine="560" w:firstLineChars="200"/>
        <w:jc w:val="left"/>
        <w:rPr>
          <w:rFonts w:hint="default" w:ascii="Times New Roman" w:hAnsi="Times New Roman" w:eastAsia="宋体" w:cs="Times New Roman"/>
          <w:kern w:val="2"/>
          <w:sz w:val="28"/>
          <w:szCs w:val="28"/>
          <w:lang w:val="en-US" w:eastAsia="zh-CN" w:bidi="ar-SA"/>
        </w:rPr>
      </w:pPr>
      <w:r>
        <w:rPr>
          <w:rFonts w:hint="eastAsia" w:cs="Times New Roman"/>
          <w:kern w:val="2"/>
          <w:sz w:val="28"/>
          <w:szCs w:val="28"/>
          <w:lang w:val="en-US" w:eastAsia="zh-CN" w:bidi="ar-SA"/>
        </w:rPr>
        <w:t>现有产业结构</w:t>
      </w:r>
      <w:r>
        <w:rPr>
          <w:rFonts w:ascii="Times New Roman" w:hAnsi="Times New Roman" w:eastAsia="宋体" w:cs="Times New Roman"/>
          <w:kern w:val="2"/>
          <w:sz w:val="28"/>
          <w:szCs w:val="28"/>
          <w:lang w:val="en-US" w:eastAsia="zh-CN" w:bidi="ar-SA"/>
        </w:rPr>
        <w:t>仍存在明显不足</w:t>
      </w:r>
      <w:r>
        <w:rPr>
          <w:rFonts w:hint="eastAsia" w:cs="Times New Roman"/>
          <w:kern w:val="2"/>
          <w:sz w:val="28"/>
          <w:szCs w:val="28"/>
          <w:lang w:val="en-US" w:eastAsia="zh-CN" w:bidi="ar-SA"/>
        </w:rPr>
        <w:t>：养殖业规模化发展不均衡，零散散户占比高、养殖技术不规范，本地苗种繁育体系薄弱、依赖外购，养殖品种偏常规、高端珍稀品种规模小；加工业整体规模偏小、加工工艺设备相对落后、以初级产品为主，品牌建设滞后、知名度和溢价能力不足；渔旅融合业态单一、产业链延伸不够，电商运营与配套物流人才短缺、线上销量偏低，冷链物流、技术服务、市场信息等配套体系尚不健全，难以支撑产业高质量发展。</w:t>
      </w:r>
    </w:p>
    <w:p w14:paraId="1B9DA37C">
      <w:pPr>
        <w:pStyle w:val="5"/>
        <w:numPr>
          <w:ilvl w:val="0"/>
          <w:numId w:val="24"/>
        </w:numPr>
        <w:ind w:left="0" w:leftChars="0" w:firstLine="560" w:firstLineChars="200"/>
        <w:jc w:val="both"/>
        <w:rPr>
          <w:b w:val="0"/>
        </w:rPr>
      </w:pPr>
      <w:r>
        <w:rPr>
          <w:rFonts w:hint="eastAsia"/>
          <w:b w:val="0"/>
          <w:lang w:val="en-US" w:eastAsia="zh-CN"/>
        </w:rPr>
        <w:t>调整方向</w:t>
      </w:r>
    </w:p>
    <w:p w14:paraId="6C4DC8FB">
      <w:pPr>
        <w:pStyle w:val="11"/>
        <w:widowControl/>
        <w:ind w:leftChars="0"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第一产业（养殖环节）不足，调整方向聚焦“标准化、规模化、优质化”。一是规范养殖管理，整合零散养殖资源，引导散户加入规模化养殖基地，开展养殖技术培训，统一养殖标准、投喂规范和尾水治理要求，解决散户技术参差不齐、养殖不规范的问题；二是完善苗种繁育体系，加大本地冷水鱼苗种培育投入，建设标准化苗种繁育基地，减少对外购苗种的依赖，降低养殖成本，同时优化养殖品种结构，扩大高端珍稀冷水鱼养殖规模，减少常规鱼类同质化养殖，提升产品竞争力；三是强化生态管控，严格落实尾水净化处理要求，持续推进池塘标准化改造，筑牢生态养殖根基，确保水质稳定达标。</w:t>
      </w:r>
    </w:p>
    <w:p w14:paraId="751FD4DC">
      <w:pPr>
        <w:pStyle w:val="11"/>
        <w:widowControl/>
        <w:ind w:leftChars="0"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第二产业（加工环节）短板，调整方向侧重“提质增效、延伸链条”。一是培育壮大加工龙头企业，引进先进深加工设备和工艺，突破初级加工局限，开发即食、真空包装等多元化深加工产品，提升产品附加值；二是加强加工技术研发，推动林蛙、冷水鱼等特色产品深加工，丰富产品品类，避免同质化；三是强化品牌建设，打造区域特色渔业品牌，完善产品包装与推广，打破本地市场局限，拓展外部销售渠道，提升品牌溢价能力。</w:t>
      </w:r>
    </w:p>
    <w:p w14:paraId="7E2D1B86">
      <w:pPr>
        <w:pStyle w:val="11"/>
        <w:widowControl/>
        <w:ind w:leftChars="0"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第三产业（融合发展）不足，调整方向聚焦“深化融合、完善配套”。一是推动渔旅深度融合，丰富渔旅体验项目，打造沉浸式渔旅产品，突破单一垂钓、冬捕体验，延伸渔旅产业链；二是提升电商运营水平，引进电商运营专业人才，完善产品包装、物流配送和冷链保鲜体系，解决高端水产品保鲜难题，拓宽线上销售渠道，提升线上销量占比；三是健全配套服务体系，完善养殖技术指导、市场信息服务，补齐技术服务、物流冷链等短板，推动第三产业与渔业养殖、加工环节深度衔接。</w:t>
      </w:r>
    </w:p>
    <w:p w14:paraId="55FC7803">
      <w:pPr>
        <w:pStyle w:val="4"/>
        <w:numPr>
          <w:ilvl w:val="0"/>
          <w:numId w:val="22"/>
        </w:numPr>
        <w:ind w:left="0" w:leftChars="0" w:firstLine="600" w:firstLineChars="200"/>
        <w:jc w:val="both"/>
        <w:rPr>
          <w:b w:val="0"/>
          <w:color w:val="auto"/>
        </w:rPr>
      </w:pPr>
      <w:bookmarkStart w:id="196" w:name="_Toc7507"/>
      <w:bookmarkStart w:id="197" w:name="_Toc9460"/>
      <w:bookmarkStart w:id="198" w:name="_Toc7198"/>
      <w:bookmarkStart w:id="199" w:name="_Toc19906"/>
      <w:bookmarkStart w:id="200" w:name="_Toc11168"/>
      <w:r>
        <w:rPr>
          <w:color w:val="auto"/>
        </w:rPr>
        <w:t>水产养殖前景预测</w:t>
      </w:r>
      <w:bookmarkEnd w:id="196"/>
      <w:bookmarkEnd w:id="197"/>
      <w:bookmarkEnd w:id="198"/>
      <w:bookmarkEnd w:id="199"/>
      <w:bookmarkEnd w:id="200"/>
    </w:p>
    <w:p w14:paraId="4D82B4CB">
      <w:pPr>
        <w:pStyle w:val="5"/>
        <w:numPr>
          <w:ilvl w:val="0"/>
          <w:numId w:val="0"/>
        </w:numPr>
        <w:ind w:leftChars="200"/>
        <w:jc w:val="both"/>
        <w:rPr>
          <w:rFonts w:hint="eastAsia"/>
          <w:b w:val="0"/>
          <w:lang w:val="en-US" w:eastAsia="zh-CN"/>
        </w:rPr>
      </w:pPr>
      <w:bookmarkStart w:id="201" w:name="_Toc1753"/>
      <w:bookmarkStart w:id="202" w:name="_Toc8926"/>
      <w:bookmarkStart w:id="203" w:name="_Toc30567"/>
      <w:bookmarkStart w:id="204" w:name="_Toc29745"/>
      <w:r>
        <w:rPr>
          <w:rFonts w:hint="eastAsia"/>
          <w:b w:val="0"/>
          <w:lang w:val="en-US" w:eastAsia="zh-CN"/>
        </w:rPr>
        <w:t>2.2.3.1 市场发展潜力</w:t>
      </w:r>
    </w:p>
    <w:p w14:paraId="4B9BF861">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凭借小兴安岭腹地得天独厚的优质冷水资源，友好区培育的细鳞鱼、哲罗鱼等珍稀冷水鱼类，以及全人工养殖的林蛙，凭借生态养殖造就的鲜嫩肉质和丰富营养，不仅在本地市场呈现供不应求的态势，还成功打入伊春市区、周边林场及铁力、嘉荫等周边市县市场。随着周边城市居民健康消费意识的不断增强，对生态、安全的冷水水产品的需求持续攀升，加之物流运输网络的不断完善，友好区水产产品的市场辐射范围有望进一步延伸至黑龙江东部更多市县，有效填补该区域高端冷水特色水产的供给空白，为产业持续发展提供坚实的需求保障。</w:t>
      </w:r>
    </w:p>
    <w:p w14:paraId="29AED6DD">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友好区地处小兴安岭寒温带气候带，境内冷水水域常年水温保持在10-18℃，在此环境下培育的冷水鱼生长周期更长、品质更为优良，其上市时段与南方常规水产品形成明显错峰，能够有效规避南方水产集中上市带来的低价竞争压力。凭借“寒地生态、冷水珍品”的独特定位，友好区水产产品可精准对接中高端餐饮、节日礼品等细分市场，大幅提升产品的溢价能力。此外，除冷水鱼、林蛙这两大核心品类外，冷水虾、北极虾等特色品种也具备突出的品质优势，能够满足不同消费群体的多样化需求，进一步拓宽市场覆盖面，挖掘更多增量市场潜力。</w:t>
      </w:r>
    </w:p>
    <w:p w14:paraId="6D9131CA">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目前，友好区水产产品仍以鲜活销售为主，产品附加值相对较低。未来，依托伊春市农产品加工业发展相关政策支持，将重点推进水产初加工与精深加工产业发展，开发冷冻冷水鱼、即食鱼片、林蛙深加工制品等多元化产品，可有效满足餐饮企业、食品加工厂等B端客户的批量采购需求。与此同时，友好区已初步探索“生态养殖+休闲旅游”的发展模式，后续将借鉴大兴安岭图强林场冬钓体验的成功实践，进一步完善渔旅融合配套设施，带动体验式消费需求增长，构建“产品消费+体验消费”双向驱动的市场格局，进一步释放产业发展活力。</w:t>
      </w:r>
    </w:p>
    <w:p w14:paraId="0D5202ED">
      <w:pPr>
        <w:pStyle w:val="5"/>
        <w:numPr>
          <w:ilvl w:val="0"/>
          <w:numId w:val="0"/>
        </w:numPr>
        <w:ind w:leftChars="200"/>
        <w:jc w:val="both"/>
        <w:rPr>
          <w:rFonts w:hint="eastAsia"/>
          <w:b w:val="0"/>
          <w:lang w:val="en-US" w:eastAsia="zh-CN"/>
        </w:rPr>
      </w:pPr>
      <w:r>
        <w:rPr>
          <w:rFonts w:hint="eastAsia"/>
          <w:b w:val="0"/>
          <w:lang w:val="en-US" w:eastAsia="zh-CN"/>
        </w:rPr>
        <w:t>2.2.3.2 发展趋势</w:t>
      </w:r>
    </w:p>
    <w:p w14:paraId="75D31B98">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友好区以黑龙江伊蓝生物科技有限公司、双盈畜禽养殖场为代表的龙头养殖企业，养殖规模正持续扩大，其中伊蓝生物冷水鱼养殖基地规模已达298亩，这种规模化发展模式将成为未来友好区水产养殖的主流方向。与此同时，友好区将加强与省水产技术推广总站等科研机构的深度合作，持续优化冷水鱼苗种及林蛙品种，提升其抗寒、抗病能力，着力推进养殖品种本土化培育进程，逐步降低对外购苗种的依赖程度，有效控制养殖成本，增强产业自主发展能力。</w:t>
      </w:r>
    </w:p>
    <w:p w14:paraId="08A05828">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目前，友好区已深入推进水产绿色健康养殖技术推广“五大行动”，未来将进一步健全“专家+技术人员+养殖户”的立体服务体系，从清塘消毒、饲料投喂到尾水治理等各个环节，全面规范养殖技术流程，提升养殖规范化水平。同时，将广泛推广“大棚温控+生态循环”“尾水净化循环利用”等先进养殖模式，普遍采用水草移栽、生态投喂等生态调控手段，在保障水产品品质的同时，最大限度降低养殖活动对水域环境的影响，严格遵循《中华人民共和国渔业法》相关规定，契合绿色农业发展理念。</w:t>
      </w:r>
    </w:p>
    <w:p w14:paraId="7D1EF6CA">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友好区将以冷水鱼、林蛙养殖为核心载体，明确构建“养殖赋能文旅、文旅拉动销售”的发展路径，进一步完善养殖基地的餐饮、休闲步道、垂钓平台等配套设施，结合冬捕体验、渔旅研学、休闲垂钓等特色项目，推动“养殖+文旅”深度融合发展。同时，育苗、饲料供应、物流冷链、深加工等配套产业将同步升级，依托原本自然现代产业园的平台优势，推动水产养殖与电商、深加工产业深度衔接，构建从生产、加工到销售，从体验、服务到消费的完整产业链条，全面提升产业整体竞争力</w:t>
      </w:r>
    </w:p>
    <w:p w14:paraId="46F0168E">
      <w:pPr>
        <w:keepNext w:val="0"/>
        <w:keepLines w:val="0"/>
        <w:widowControl/>
        <w:suppressLineNumbers w:val="0"/>
        <w:ind w:firstLine="560" w:firstLineChars="200"/>
        <w:jc w:val="left"/>
        <w:rPr>
          <w:rFonts w:hint="eastAsia" w:ascii="Times New Roman" w:hAnsi="Times New Roman" w:eastAsia="黑体" w:cs="Times New Roman"/>
          <w:b w:val="0"/>
          <w:bCs/>
          <w:kern w:val="2"/>
          <w:sz w:val="28"/>
          <w:szCs w:val="28"/>
          <w:lang w:val="en-US" w:eastAsia="zh-CN" w:bidi="ar-SA"/>
        </w:rPr>
      </w:pPr>
      <w:r>
        <w:rPr>
          <w:rFonts w:hint="eastAsia" w:ascii="Times New Roman" w:hAnsi="Times New Roman" w:eastAsia="黑体" w:cs="Times New Roman"/>
          <w:b w:val="0"/>
          <w:bCs/>
          <w:kern w:val="2"/>
          <w:sz w:val="28"/>
          <w:szCs w:val="28"/>
          <w:lang w:val="en-US" w:eastAsia="zh-CN" w:bidi="ar-SA"/>
        </w:rPr>
        <w:t>2.2.3.3 养殖水域滩涂需求</w:t>
      </w:r>
    </w:p>
    <w:p w14:paraId="54951411">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友好区将启动养殖水域滩涂的规划测量与修订工作，对水域滩涂进行精细化划分的需求愈发迫切。未来，将依托专业测绘数据，明确划分标准化冷水鱼养殖区、林蛙养殖区、苗种繁育区、生态养殖区及渔旅融合区等功能区域，确保各区域布局科学合理。例如，苗种繁育区将优先选址于水温稳定、水质优良、交通便捷的滩涂周边区域；渔旅融合区则结合友好河、双子河岸线分布特点进行规划，保障不同养殖模式的空间适配性，实现水域滩涂资源的科学、高效利用。</w:t>
      </w:r>
    </w:p>
    <w:p w14:paraId="46E32611">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 随着养殖规模化、标准化水平的不断提高，对滩涂水域基础设施的标准和要求也在持续提升。一方面，需进一步完善标准化池塘的注水排水系统、增氧设施、防逃设施等，充分适配冷水鱼、林蛙等养殖品种的生长特性；另一方面，为应对寒温带冬季严寒气候，需加大育苗大棚、温控设备等设施的建设投入，同时配套建设清淤、水质净化等环保设施，严格执行尾水排放标准，维持滩涂水域生态平衡，为养殖产业可持续发展提供保障。</w:t>
      </w:r>
    </w:p>
    <w:p w14:paraId="012CF6E3">
      <w:pPr>
        <w:keepNext w:val="0"/>
        <w:keepLines w:val="0"/>
        <w:widowControl/>
        <w:suppressLineNumbers w:val="0"/>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 按照黑龙江省渔业发展规划及伊春市农产品加工业发展要求，友好区将主动融入区域渔业发展大局。依托境内丰富的水域滩涂资源，积极承接伊春市及周边城市水产加工产业的溢出需求，规划预留部分临近交通干线的滩涂周边用地，用于建设水产深加工园区，推动“养殖+加工”一体化发展。同时，结合全省冰雪渔业、渔猎文化发展方向，规划部分滩涂水域及岸线资源，借鉴大兴安岭冬钓体验的成熟模式，开发冬季捕鱼、冰上垂钓等特色项目，实现水域滩涂资源的多元化利用，提升资源利用效率和综合效益。</w:t>
      </w:r>
    </w:p>
    <w:p w14:paraId="362BECF3">
      <w:pPr>
        <w:pStyle w:val="5"/>
        <w:numPr>
          <w:ilvl w:val="0"/>
          <w:numId w:val="0"/>
        </w:numPr>
        <w:ind w:leftChars="200"/>
        <w:jc w:val="both"/>
        <w:rPr>
          <w:rFonts w:hint="eastAsia"/>
          <w:b w:val="0"/>
          <w:lang w:val="en-US" w:eastAsia="zh-CN"/>
        </w:rPr>
      </w:pPr>
      <w:r>
        <w:rPr>
          <w:rFonts w:hint="eastAsia"/>
          <w:b w:val="0"/>
          <w:lang w:val="en-US" w:eastAsia="zh-CN"/>
        </w:rPr>
        <w:t>2.2.3.4 水产养殖产业发展预测结论</w:t>
      </w:r>
    </w:p>
    <w:p w14:paraId="6418B0E3">
      <w:pPr>
        <w:keepNext w:val="0"/>
        <w:keepLines w:val="0"/>
        <w:widowControl/>
        <w:suppressLineNumbers w:val="0"/>
        <w:ind w:firstLine="560" w:firstLineChars="200"/>
        <w:jc w:val="left"/>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友好区水产养殖产业拥有广阔的发展前景，不仅具备得天独厚的冷水资源优势、明确的政策扶持导向，还拥有旺盛的市场需求，加之能够针对性破解当前产业发展短板、落实科学合理的调整方向，未来必将实现高质量、可持续发展。从短期（3-5年）来看，随着养殖规模化水平的提升、苗种繁育体系的完善、深加工能力的增强以及水域滩涂规划的优化，水产养殖产量将稳步增长，初步形成规模化产业链条，产品市场辐射范围不断扩大，区域品牌影响力逐步显现。从中长期（5-10年）来看，友好区将逐步建成以“生态养殖为基础、精深加工为支撑、多元融合为亮点”的现代化水产养殖产业体系，养殖规模化、标准化、品牌化水平将显著提升，培育形成具有区域特色的冷水鱼品牌，渔旅融合、电商销售等新业态持续壮大，水域滩涂资源实现高效、可持续利用，产业整体竞争力将跻身伊春市乃至黑龙江省东部冷水养殖领域前列。</w:t>
      </w:r>
    </w:p>
    <w:p w14:paraId="12A4B46B">
      <w:pPr>
        <w:pStyle w:val="4"/>
        <w:numPr>
          <w:ilvl w:val="0"/>
          <w:numId w:val="22"/>
        </w:numPr>
        <w:ind w:left="0" w:leftChars="0" w:firstLine="600" w:firstLineChars="200"/>
        <w:jc w:val="both"/>
        <w:rPr>
          <w:rFonts w:ascii="Times New Roman" w:hAnsi="Times New Roman" w:eastAsia="宋体" w:cs="Times New Roman"/>
          <w:color w:val="auto"/>
          <w:kern w:val="2"/>
          <w:sz w:val="28"/>
          <w:szCs w:val="28"/>
          <w:lang w:bidi="ar-SA"/>
        </w:rPr>
      </w:pPr>
      <w:bookmarkStart w:id="205" w:name="_Toc20240"/>
      <w:r>
        <w:rPr>
          <w:color w:val="auto"/>
        </w:rPr>
        <w:t>养殖水域滩涂开发总体思路</w:t>
      </w:r>
      <w:bookmarkEnd w:id="201"/>
      <w:bookmarkEnd w:id="202"/>
      <w:bookmarkEnd w:id="203"/>
      <w:bookmarkEnd w:id="204"/>
      <w:bookmarkEnd w:id="205"/>
    </w:p>
    <w:p w14:paraId="4C6259FC">
      <w:pPr>
        <w:keepNext w:val="0"/>
        <w:keepLines w:val="0"/>
        <w:widowControl/>
        <w:suppressLineNumbers w:val="0"/>
        <w:ind w:leftChars="0" w:firstLine="560" w:firstLineChars="200"/>
        <w:jc w:val="both"/>
        <w:rPr>
          <w:rFonts w:hint="eastAsia" w:ascii="Times New Roman" w:hAnsi="Times New Roman" w:eastAsia="宋体" w:cs="Times New Roman"/>
          <w:b w:val="0"/>
          <w:sz w:val="24"/>
          <w:szCs w:val="24"/>
          <w:lang w:val="en-US" w:eastAsia="zh-CN"/>
        </w:rPr>
      </w:pPr>
      <w:r>
        <w:rPr>
          <w:rFonts w:ascii="Times New Roman" w:hAnsi="Times New Roman" w:eastAsia="宋体" w:cs="Times New Roman"/>
          <w:kern w:val="2"/>
          <w:sz w:val="28"/>
          <w:szCs w:val="28"/>
          <w:lang w:val="en-US" w:eastAsia="zh-CN" w:bidi="ar-SA"/>
        </w:rPr>
        <w:t>立足</w:t>
      </w:r>
      <w:r>
        <w:rPr>
          <w:rFonts w:hint="eastAsia" w:cs="Times New Roman"/>
          <w:kern w:val="2"/>
          <w:sz w:val="28"/>
          <w:szCs w:val="28"/>
          <w:lang w:val="en-US" w:eastAsia="zh-CN" w:bidi="ar-SA"/>
        </w:rPr>
        <w:t>友好区“</w:t>
      </w:r>
      <w:r>
        <w:rPr>
          <w:rFonts w:ascii="Times New Roman" w:hAnsi="Times New Roman" w:eastAsia="宋体" w:cs="Times New Roman"/>
          <w:kern w:val="2"/>
          <w:sz w:val="28"/>
          <w:szCs w:val="28"/>
          <w:lang w:val="en-US" w:eastAsia="zh-CN" w:bidi="ar-SA"/>
        </w:rPr>
        <w:t>生态优先、产业兴区</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发展定位，以</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创新、协调、绿色、开放、共享</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五大发展理念为引领，深度结合主城区辐射带动优势、乡村振兴重点任务及生态保护红线要求，全面摸排辖区适宜养殖水域的资源禀赋，科学开展环境承载力精准评估。立足冷水鱼、林蛙特色产业基础，科学划定养殖功能分区，优化养殖空间布局，坚守基本养殖水域底线，切实维护养殖主体合法权益，将生态保护贯穿开发全过程，严守水域生态、产品质量、供给安全三条底线，推动水产养殖从</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规模增长</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向</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质量提升</w:t>
      </w:r>
      <w:r>
        <w:rPr>
          <w:rFonts w:hint="eastAsia" w:cs="Times New Roman"/>
          <w:kern w:val="2"/>
          <w:sz w:val="28"/>
          <w:szCs w:val="28"/>
          <w:lang w:val="en-US" w:eastAsia="zh-CN" w:bidi="ar-SA"/>
        </w:rPr>
        <w:t>”</w:t>
      </w:r>
      <w:r>
        <w:rPr>
          <w:rFonts w:ascii="Times New Roman" w:hAnsi="Times New Roman" w:eastAsia="宋体" w:cs="Times New Roman"/>
          <w:kern w:val="2"/>
          <w:sz w:val="28"/>
          <w:szCs w:val="28"/>
          <w:lang w:val="en-US" w:eastAsia="zh-CN" w:bidi="ar-SA"/>
        </w:rPr>
        <w:t>转型，最终实现生态效益、经济效益、社会效益协同发展，助力渔民增收、产业兴区，打造伊美特色冷水渔业发展样板。</w:t>
      </w:r>
    </w:p>
    <w:p w14:paraId="310EC463">
      <w:pPr>
        <w:pStyle w:val="2"/>
        <w:widowControl/>
        <w:numPr>
          <w:ilvl w:val="0"/>
          <w:numId w:val="1"/>
        </w:numPr>
        <w:ind w:left="0" w:leftChars="0" w:firstLine="0" w:firstLineChars="0"/>
        <w:jc w:val="center"/>
        <w:rPr>
          <w:b w:val="0"/>
        </w:rPr>
      </w:pPr>
      <w:bookmarkStart w:id="206" w:name="_Toc26072"/>
      <w:bookmarkStart w:id="207" w:name="_Toc32479"/>
      <w:bookmarkStart w:id="208" w:name="_Toc23285"/>
      <w:bookmarkStart w:id="209" w:name="_Toc29294"/>
      <w:bookmarkStart w:id="210" w:name="_Toc31770"/>
      <w:bookmarkStart w:id="211" w:name="_Toc28726"/>
      <w:bookmarkStart w:id="212" w:name="_Toc24334"/>
      <w:bookmarkStart w:id="213" w:name="_Toc31932"/>
      <w:bookmarkStart w:id="214" w:name="_Toc5513"/>
      <w:r>
        <w:t>养殖水域滩涂功能区划定</w:t>
      </w:r>
      <w:bookmarkEnd w:id="206"/>
      <w:bookmarkEnd w:id="207"/>
      <w:bookmarkEnd w:id="208"/>
      <w:bookmarkEnd w:id="209"/>
      <w:bookmarkEnd w:id="210"/>
      <w:bookmarkEnd w:id="211"/>
      <w:bookmarkEnd w:id="212"/>
      <w:bookmarkEnd w:id="213"/>
      <w:bookmarkEnd w:id="214"/>
    </w:p>
    <w:p w14:paraId="3D32CD24">
      <w:pPr>
        <w:pStyle w:val="3"/>
        <w:numPr>
          <w:ilvl w:val="0"/>
          <w:numId w:val="25"/>
        </w:numPr>
        <w:ind w:left="0" w:leftChars="0" w:firstLine="600" w:firstLineChars="200"/>
        <w:jc w:val="both"/>
        <w:rPr>
          <w:b w:val="0"/>
        </w:rPr>
      </w:pPr>
      <w:bookmarkStart w:id="215" w:name="_Toc9623"/>
      <w:bookmarkStart w:id="216" w:name="_Toc11454"/>
      <w:bookmarkStart w:id="217" w:name="_Toc5656"/>
      <w:bookmarkStart w:id="218" w:name="_Toc27433"/>
      <w:bookmarkStart w:id="219" w:name="_Toc13131"/>
      <w:bookmarkStart w:id="220" w:name="_Toc10881"/>
      <w:bookmarkStart w:id="221" w:name="_Toc24680"/>
      <w:bookmarkStart w:id="222" w:name="_Toc9948"/>
      <w:bookmarkStart w:id="223" w:name="_Toc30921"/>
      <w:r>
        <w:t>功能区划定标准</w:t>
      </w:r>
      <w:bookmarkEnd w:id="215"/>
      <w:bookmarkEnd w:id="216"/>
      <w:bookmarkEnd w:id="217"/>
      <w:bookmarkEnd w:id="218"/>
      <w:bookmarkEnd w:id="219"/>
      <w:bookmarkEnd w:id="220"/>
      <w:bookmarkEnd w:id="221"/>
      <w:bookmarkEnd w:id="222"/>
      <w:bookmarkEnd w:id="223"/>
    </w:p>
    <w:p w14:paraId="7DDBC86D">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根据农业农村部《养殖水域滩涂规划》编制大纲的要求、《国土空间规划》及</w:t>
      </w:r>
      <w:r>
        <w:rPr>
          <w:rFonts w:hint="eastAsia" w:cs="Times New Roman"/>
          <w:sz w:val="28"/>
          <w:szCs w:val="28"/>
          <w:lang w:eastAsia="zh-CN"/>
        </w:rPr>
        <w:t>友好区</w:t>
      </w:r>
      <w:r>
        <w:rPr>
          <w:rFonts w:ascii="Times New Roman" w:hAnsi="Times New Roman" w:eastAsia="宋体" w:cs="Times New Roman"/>
          <w:sz w:val="28"/>
          <w:szCs w:val="28"/>
        </w:rPr>
        <w:t>养殖现状和水域自然条件、生产特点将水域养殖区域划分为禁止养殖区、限制养殖区、养殖区。</w:t>
      </w:r>
    </w:p>
    <w:p w14:paraId="0BE2816B">
      <w:pPr>
        <w:pStyle w:val="4"/>
        <w:numPr>
          <w:ilvl w:val="0"/>
          <w:numId w:val="26"/>
        </w:numPr>
        <w:ind w:left="0" w:leftChars="0" w:firstLine="600" w:firstLineChars="200"/>
        <w:jc w:val="both"/>
        <w:rPr>
          <w:b w:val="0"/>
        </w:rPr>
      </w:pPr>
      <w:bookmarkStart w:id="224" w:name="_Toc27397"/>
      <w:bookmarkStart w:id="225" w:name="_Toc9608"/>
      <w:bookmarkStart w:id="226" w:name="_Toc19934"/>
      <w:bookmarkStart w:id="227" w:name="_Toc27437"/>
      <w:r>
        <w:t>禁止养殖区划定标准</w:t>
      </w:r>
      <w:bookmarkEnd w:id="224"/>
      <w:bookmarkEnd w:id="225"/>
      <w:bookmarkEnd w:id="226"/>
      <w:bookmarkEnd w:id="227"/>
    </w:p>
    <w:p w14:paraId="024753B9">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耕地及永久基本农田保护红线：除稻渔综合种养区外，其他涉及耕地和永久基本农田保护红线内的水域滩涂，原则上划为禁止养殖区，以确保耕地面积不减、质量不降。</w:t>
      </w:r>
    </w:p>
    <w:p w14:paraId="47F2ABA7">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生态保护红线核心区域：包括整合优化后的自然保护地核心保护区、重要水源涵养区、河湖自然岸线、生物多样性维护区、生态极敏感区及极脆弱区、水土保持区、防风固沙区等生态功能极其重要的区域，以及目前无明显人类活动、具有潜在重要生态价值的其他区域（诸如极小种群物种分布的栖息地、国家一级公益林、重要湿地、国家级水土流失重点预防区、沙化土地封禁保护区、野生植物集中分布地等）核心及确需要严格保护区域的水域滩涂，按照法律法规及地方管理要求一般划为禁止养殖区。</w:t>
      </w:r>
    </w:p>
    <w:p w14:paraId="43C3CA27">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饮用水水源地一级保护区、自然保护区核心保护区、国家级水产种质资源保护区核心区和未批准利用的无居民岛屿等重点生态功能区划为禁止养殖区，禁止开展水产养殖。</w:t>
      </w:r>
      <w:r>
        <w:rPr>
          <w:rFonts w:hint="eastAsia" w:cs="Times New Roman"/>
          <w:sz w:val="28"/>
          <w:szCs w:val="28"/>
          <w:lang w:val="en-US" w:eastAsia="zh-CN"/>
        </w:rPr>
        <w:t xml:space="preserve">  </w:t>
      </w:r>
    </w:p>
    <w:p w14:paraId="776C5F54">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城镇开发边界：为避免对城镇生态环境造成不利影响，城镇开发边界内的水域滩涂，划为禁止养殖区。</w:t>
      </w:r>
    </w:p>
    <w:p w14:paraId="4128D55C">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自然灾害综合风险重点防控区及其他高风险区域：包括地震、地质灾害、洪涝等自然灾害综合风险防控重点区域，战略性矿产资源安全保障核心区及接续区，以及历史文化保护线范围内的水域滩涂，原则上均划为禁止养殖区，以降低自然灾害、矿业生产对水产养殖业的影响，加强对历史文化遗产保护并确保生态安全。</w:t>
      </w:r>
    </w:p>
    <w:p w14:paraId="768D4DF2">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禁止在港口、航道、行洪区、河道堤防安全保护区等公共设施安全区域开展水产养殖。</w:t>
      </w:r>
    </w:p>
    <w:p w14:paraId="7D446C41">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禁止在有毒有害物质超过规定标准的水体开展水产养殖。</w:t>
      </w:r>
    </w:p>
    <w:p w14:paraId="353D2E8D">
      <w:pPr>
        <w:pStyle w:val="11"/>
        <w:numPr>
          <w:ilvl w:val="0"/>
          <w:numId w:val="27"/>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法律法规规定的其他禁止从事水产养殖的区域。</w:t>
      </w:r>
    </w:p>
    <w:p w14:paraId="12A9FB47">
      <w:pPr>
        <w:pStyle w:val="4"/>
        <w:numPr>
          <w:ilvl w:val="0"/>
          <w:numId w:val="26"/>
        </w:numPr>
        <w:ind w:left="0" w:leftChars="0" w:firstLine="600" w:firstLineChars="200"/>
        <w:jc w:val="both"/>
        <w:rPr>
          <w:b w:val="0"/>
        </w:rPr>
      </w:pPr>
      <w:bookmarkStart w:id="228" w:name="_Toc17171"/>
      <w:bookmarkStart w:id="229" w:name="_Toc1134"/>
      <w:bookmarkStart w:id="230" w:name="_Toc24451"/>
      <w:bookmarkStart w:id="231" w:name="_Toc8970"/>
      <w:r>
        <w:t>限制养殖区划定标准</w:t>
      </w:r>
      <w:bookmarkEnd w:id="228"/>
      <w:bookmarkEnd w:id="229"/>
      <w:bookmarkEnd w:id="230"/>
      <w:bookmarkEnd w:id="231"/>
    </w:p>
    <w:p w14:paraId="7D7DFF7D">
      <w:pPr>
        <w:pStyle w:val="11"/>
        <w:numPr>
          <w:ilvl w:val="0"/>
          <w:numId w:val="28"/>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限制在饮用水水源二级保护区、自然保护地一般控制区、国家级水产种质资源保护区实验区、风景名胜区、生态保护红线内自然保护地核心保护区外非核心区等生态功能区开展水产养殖，在以上区域内进行水产养殖的应采取污染防治措施，污染物排放不得超过国家和地方规定的污染物排放标准。</w:t>
      </w:r>
    </w:p>
    <w:p w14:paraId="7D14A68B">
      <w:pPr>
        <w:pStyle w:val="11"/>
        <w:numPr>
          <w:ilvl w:val="0"/>
          <w:numId w:val="28"/>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限制在重点湖泊水库等公共自然水域开展网箱围栏养殖。重点湖泊水库饲养滤食性鱼类的网箱围栏总面积不超过水域面积的1%，饲养吃食性鱼类的网箱围栏总面积不超过水域面积的0.25%；重点近岸海域浮动式网箱面积不超过海域宜养面积的10%。</w:t>
      </w:r>
    </w:p>
    <w:p w14:paraId="1F7ABAF4">
      <w:pPr>
        <w:pStyle w:val="11"/>
        <w:numPr>
          <w:ilvl w:val="0"/>
          <w:numId w:val="28"/>
        </w:numPr>
        <w:ind w:left="0" w:leftChars="0" w:firstLine="560" w:firstLineChars="200"/>
        <w:jc w:val="both"/>
        <w:rPr>
          <w:rFonts w:ascii="Times New Roman" w:hAnsi="Times New Roman" w:eastAsia="宋体" w:cs="Times New Roman"/>
          <w:b w:val="0"/>
          <w:sz w:val="28"/>
          <w:szCs w:val="28"/>
        </w:rPr>
      </w:pPr>
      <w:r>
        <w:rPr>
          <w:rFonts w:ascii="Times New Roman" w:hAnsi="Times New Roman" w:eastAsia="宋体" w:cs="Times New Roman"/>
          <w:sz w:val="28"/>
          <w:szCs w:val="28"/>
        </w:rPr>
        <w:t>法律法规规定的其他限制养殖区。</w:t>
      </w:r>
    </w:p>
    <w:p w14:paraId="545E2BFD">
      <w:pPr>
        <w:pStyle w:val="4"/>
        <w:numPr>
          <w:ilvl w:val="0"/>
          <w:numId w:val="26"/>
        </w:numPr>
        <w:ind w:left="0" w:leftChars="0" w:firstLine="600" w:firstLineChars="200"/>
        <w:jc w:val="both"/>
        <w:rPr>
          <w:rFonts w:hint="eastAsia" w:ascii="黑体" w:hAnsi="黑体" w:eastAsia="黑体" w:cs="黑体"/>
          <w:b w:val="0"/>
        </w:rPr>
      </w:pPr>
      <w:bookmarkStart w:id="232" w:name="_Toc25542"/>
      <w:bookmarkStart w:id="233" w:name="_Toc2703"/>
      <w:bookmarkStart w:id="234" w:name="_Toc6034"/>
      <w:bookmarkStart w:id="235" w:name="_Toc15880"/>
      <w:r>
        <w:t>养殖区划定标准</w:t>
      </w:r>
      <w:bookmarkEnd w:id="232"/>
      <w:bookmarkEnd w:id="233"/>
      <w:bookmarkEnd w:id="234"/>
      <w:bookmarkEnd w:id="235"/>
    </w:p>
    <w:p w14:paraId="61DFC92E">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按照《国土空间总体规划》，养殖区主要集中在农业空间内的水域。这些区域适合发展水产养殖，并能在生态保护和资源利用之间找到平衡。</w:t>
      </w:r>
    </w:p>
    <w:p w14:paraId="7942C3B1">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此外，生态保护红线内自然保护地核心保护区域之外的水域，历史上有原住居民或其他合法权益主体从事水产养殖活动的区域，可规划为养殖区，养殖活动可继续，但应严格控制规模强度，防止破坏生态环境，确保可持续发展。并根据池塘养殖、大水面养殖、设施养殖等不同的养殖模式进行分区规划，清晰地标明各区域的四至范围。为各类养殖模式提供适宜的发展空间，推动养殖生产的规范化和科学化。</w:t>
      </w:r>
    </w:p>
    <w:p w14:paraId="0E956DC9">
      <w:pPr>
        <w:pStyle w:val="35"/>
        <w:jc w:val="center"/>
        <w:rPr>
          <w:rFonts w:hint="eastAsia" w:ascii="黑体" w:hAnsi="黑体" w:eastAsia="黑体" w:cs="黑体"/>
        </w:rPr>
      </w:pPr>
      <w:r>
        <w:rPr>
          <w:rFonts w:hint="eastAsia" w:ascii="黑体" w:hAnsi="黑体" w:eastAsia="黑体" w:cs="黑体"/>
        </w:rPr>
        <w:t>表3-1 养殖水域滩涂功能区划表</w:t>
      </w:r>
    </w:p>
    <w:tbl>
      <w:tblPr>
        <w:tblStyle w:val="21"/>
        <w:tblW w:w="4937"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460"/>
        <w:gridCol w:w="476"/>
        <w:gridCol w:w="699"/>
        <w:gridCol w:w="2156"/>
        <w:gridCol w:w="1283"/>
        <w:gridCol w:w="4265"/>
      </w:tblGrid>
      <w:tr w14:paraId="51FC9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1" w:hRule="atLeast"/>
          <w:tblHeader/>
          <w:jc w:val="center"/>
        </w:trPr>
        <w:tc>
          <w:tcPr>
            <w:tcW w:w="501" w:type="pct"/>
            <w:gridSpan w:val="2"/>
            <w:noWrap w:val="0"/>
            <w:vAlign w:val="center"/>
          </w:tcPr>
          <w:p w14:paraId="23F17C52">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一级</w:t>
            </w:r>
          </w:p>
        </w:tc>
        <w:tc>
          <w:tcPr>
            <w:tcW w:w="1528" w:type="pct"/>
            <w:gridSpan w:val="2"/>
            <w:noWrap w:val="0"/>
            <w:vAlign w:val="center"/>
          </w:tcPr>
          <w:p w14:paraId="7CC60BFB">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二级</w:t>
            </w:r>
          </w:p>
        </w:tc>
        <w:tc>
          <w:tcPr>
            <w:tcW w:w="2970" w:type="pct"/>
            <w:gridSpan w:val="2"/>
            <w:noWrap w:val="0"/>
            <w:vAlign w:val="center"/>
          </w:tcPr>
          <w:p w14:paraId="1D630F03">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三级</w:t>
            </w:r>
          </w:p>
        </w:tc>
      </w:tr>
      <w:tr w14:paraId="71411D1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08" w:hRule="atLeast"/>
          <w:tblHeader/>
          <w:jc w:val="center"/>
        </w:trPr>
        <w:tc>
          <w:tcPr>
            <w:tcW w:w="246" w:type="pct"/>
            <w:noWrap w:val="0"/>
            <w:vAlign w:val="center"/>
          </w:tcPr>
          <w:p w14:paraId="41B61085">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代码</w:t>
            </w:r>
          </w:p>
        </w:tc>
        <w:tc>
          <w:tcPr>
            <w:tcW w:w="254" w:type="pct"/>
            <w:noWrap w:val="0"/>
            <w:vAlign w:val="center"/>
          </w:tcPr>
          <w:p w14:paraId="5CB9D85A">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名称</w:t>
            </w:r>
          </w:p>
        </w:tc>
        <w:tc>
          <w:tcPr>
            <w:tcW w:w="374" w:type="pct"/>
            <w:noWrap w:val="0"/>
            <w:vAlign w:val="center"/>
          </w:tcPr>
          <w:p w14:paraId="57E3D2D3">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代码</w:t>
            </w:r>
          </w:p>
        </w:tc>
        <w:tc>
          <w:tcPr>
            <w:tcW w:w="1153" w:type="pct"/>
            <w:noWrap w:val="0"/>
            <w:vAlign w:val="center"/>
          </w:tcPr>
          <w:p w14:paraId="57B2B1FB">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名称</w:t>
            </w:r>
          </w:p>
        </w:tc>
        <w:tc>
          <w:tcPr>
            <w:tcW w:w="687" w:type="pct"/>
            <w:noWrap w:val="0"/>
            <w:vAlign w:val="center"/>
          </w:tcPr>
          <w:p w14:paraId="2DC2D863">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代码</w:t>
            </w:r>
          </w:p>
        </w:tc>
        <w:tc>
          <w:tcPr>
            <w:tcW w:w="2282" w:type="pct"/>
            <w:noWrap w:val="0"/>
            <w:vAlign w:val="center"/>
          </w:tcPr>
          <w:p w14:paraId="45708A1A">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名称</w:t>
            </w:r>
          </w:p>
        </w:tc>
      </w:tr>
      <w:tr w14:paraId="664B4C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restart"/>
            <w:noWrap w:val="0"/>
            <w:vAlign w:val="center"/>
          </w:tcPr>
          <w:p w14:paraId="7800067E">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54" w:type="pct"/>
            <w:vMerge w:val="restart"/>
            <w:noWrap w:val="0"/>
            <w:vAlign w:val="center"/>
          </w:tcPr>
          <w:p w14:paraId="04D19468">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禁</w:t>
            </w:r>
          </w:p>
          <w:p w14:paraId="134BB192">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养</w:t>
            </w:r>
          </w:p>
          <w:p w14:paraId="12A90916">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区</w:t>
            </w:r>
          </w:p>
        </w:tc>
        <w:tc>
          <w:tcPr>
            <w:tcW w:w="374" w:type="pct"/>
            <w:vMerge w:val="restart"/>
            <w:noWrap w:val="0"/>
            <w:vAlign w:val="center"/>
          </w:tcPr>
          <w:p w14:paraId="1AC6DA35">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1-1</w:t>
            </w:r>
          </w:p>
        </w:tc>
        <w:tc>
          <w:tcPr>
            <w:tcW w:w="1153" w:type="pct"/>
            <w:vMerge w:val="restart"/>
            <w:noWrap w:val="0"/>
            <w:vAlign w:val="center"/>
          </w:tcPr>
          <w:p w14:paraId="68C6E7C4">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生态保护红线核心区域禁养区</w:t>
            </w:r>
          </w:p>
        </w:tc>
        <w:tc>
          <w:tcPr>
            <w:tcW w:w="687" w:type="pct"/>
            <w:noWrap w:val="0"/>
            <w:vAlign w:val="center"/>
          </w:tcPr>
          <w:p w14:paraId="1F701E84">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1-1-1</w:t>
            </w:r>
          </w:p>
        </w:tc>
        <w:tc>
          <w:tcPr>
            <w:tcW w:w="2282" w:type="pct"/>
            <w:noWrap w:val="0"/>
            <w:vAlign w:val="center"/>
          </w:tcPr>
          <w:p w14:paraId="6FE85565">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自然保护地核心保护区禁养区</w:t>
            </w:r>
          </w:p>
        </w:tc>
      </w:tr>
      <w:tr w14:paraId="1E149B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8DE192C">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6A4C2A98">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719A7EBA">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6911F501">
            <w:pPr>
              <w:widowControl/>
              <w:spacing w:line="240" w:lineRule="auto"/>
              <w:rPr>
                <w:rFonts w:hint="eastAsia" w:ascii="宋体" w:hAnsi="宋体" w:eastAsia="宋体" w:cs="宋体"/>
                <w:color w:val="000000"/>
                <w:sz w:val="24"/>
                <w:szCs w:val="24"/>
              </w:rPr>
            </w:pPr>
          </w:p>
        </w:tc>
        <w:tc>
          <w:tcPr>
            <w:tcW w:w="687" w:type="pct"/>
            <w:noWrap w:val="0"/>
            <w:vAlign w:val="center"/>
          </w:tcPr>
          <w:p w14:paraId="21F3E2DF">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1-1-2</w:t>
            </w:r>
          </w:p>
        </w:tc>
        <w:tc>
          <w:tcPr>
            <w:tcW w:w="2282" w:type="pct"/>
            <w:noWrap w:val="0"/>
            <w:vAlign w:val="center"/>
          </w:tcPr>
          <w:p w14:paraId="2540259F">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河湖自然岸线禁养区</w:t>
            </w:r>
          </w:p>
        </w:tc>
      </w:tr>
      <w:tr w14:paraId="598132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4A453559">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3FF470D0">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1E7986FB">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2E7DCCE1">
            <w:pPr>
              <w:widowControl/>
              <w:spacing w:line="240" w:lineRule="auto"/>
              <w:rPr>
                <w:rFonts w:hint="eastAsia" w:ascii="宋体" w:hAnsi="宋体" w:eastAsia="宋体" w:cs="宋体"/>
                <w:color w:val="000000"/>
                <w:sz w:val="24"/>
                <w:szCs w:val="24"/>
              </w:rPr>
            </w:pPr>
          </w:p>
        </w:tc>
        <w:tc>
          <w:tcPr>
            <w:tcW w:w="687" w:type="pct"/>
            <w:noWrap w:val="0"/>
            <w:vAlign w:val="center"/>
          </w:tcPr>
          <w:p w14:paraId="1B4470E3">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1-1-3</w:t>
            </w:r>
          </w:p>
        </w:tc>
        <w:tc>
          <w:tcPr>
            <w:tcW w:w="2282" w:type="pct"/>
            <w:noWrap w:val="0"/>
            <w:vAlign w:val="center"/>
          </w:tcPr>
          <w:p w14:paraId="6725FF98">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重要水源涵养区禁养区</w:t>
            </w:r>
          </w:p>
        </w:tc>
      </w:tr>
      <w:tr w14:paraId="77BFABE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732BF280">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162EB999">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17F3EB1C">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1B02CBB7">
            <w:pPr>
              <w:widowControl/>
              <w:spacing w:line="240" w:lineRule="auto"/>
              <w:rPr>
                <w:rFonts w:hint="eastAsia" w:ascii="宋体" w:hAnsi="宋体" w:eastAsia="宋体" w:cs="宋体"/>
                <w:color w:val="000000"/>
                <w:sz w:val="24"/>
                <w:szCs w:val="24"/>
              </w:rPr>
            </w:pPr>
          </w:p>
        </w:tc>
        <w:tc>
          <w:tcPr>
            <w:tcW w:w="687" w:type="pct"/>
            <w:noWrap w:val="0"/>
            <w:vAlign w:val="center"/>
          </w:tcPr>
          <w:p w14:paraId="70DC0CE5">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1-1-4</w:t>
            </w:r>
          </w:p>
        </w:tc>
        <w:tc>
          <w:tcPr>
            <w:tcW w:w="2282" w:type="pct"/>
            <w:noWrap w:val="0"/>
            <w:vAlign w:val="center"/>
          </w:tcPr>
          <w:p w14:paraId="799E7AB5">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生物多样性维护区禁养区</w:t>
            </w:r>
          </w:p>
        </w:tc>
      </w:tr>
      <w:tr w14:paraId="123A4E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97C109E">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67D98BCA">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0EA4D14A">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01648952">
            <w:pPr>
              <w:widowControl/>
              <w:spacing w:line="240" w:lineRule="auto"/>
              <w:rPr>
                <w:rFonts w:hint="eastAsia" w:ascii="宋体" w:hAnsi="宋体" w:eastAsia="宋体" w:cs="宋体"/>
                <w:color w:val="000000"/>
                <w:sz w:val="24"/>
                <w:szCs w:val="24"/>
              </w:rPr>
            </w:pPr>
          </w:p>
        </w:tc>
        <w:tc>
          <w:tcPr>
            <w:tcW w:w="687" w:type="pct"/>
            <w:noWrap w:val="0"/>
            <w:vAlign w:val="center"/>
          </w:tcPr>
          <w:p w14:paraId="69FF78B0">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1-1-5</w:t>
            </w:r>
          </w:p>
        </w:tc>
        <w:tc>
          <w:tcPr>
            <w:tcW w:w="2282" w:type="pct"/>
            <w:noWrap w:val="0"/>
            <w:vAlign w:val="center"/>
          </w:tcPr>
          <w:p w14:paraId="295D2232">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水土保持区禁养区</w:t>
            </w:r>
          </w:p>
        </w:tc>
      </w:tr>
      <w:tr w14:paraId="26DDC2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0FB173A">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3C1D727D">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183A2E27">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11DA20A0">
            <w:pPr>
              <w:widowControl/>
              <w:spacing w:line="240" w:lineRule="auto"/>
              <w:rPr>
                <w:rFonts w:hint="eastAsia" w:ascii="宋体" w:hAnsi="宋体" w:eastAsia="宋体" w:cs="宋体"/>
                <w:color w:val="000000"/>
                <w:sz w:val="24"/>
                <w:szCs w:val="24"/>
              </w:rPr>
            </w:pPr>
          </w:p>
        </w:tc>
        <w:tc>
          <w:tcPr>
            <w:tcW w:w="687" w:type="pct"/>
            <w:noWrap w:val="0"/>
            <w:vAlign w:val="center"/>
          </w:tcPr>
          <w:p w14:paraId="6E03379C">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1-1-6</w:t>
            </w:r>
          </w:p>
        </w:tc>
        <w:tc>
          <w:tcPr>
            <w:tcW w:w="2282" w:type="pct"/>
            <w:noWrap w:val="0"/>
            <w:vAlign w:val="center"/>
          </w:tcPr>
          <w:p w14:paraId="7413DAD4">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防风固沙区禁养区</w:t>
            </w:r>
          </w:p>
        </w:tc>
      </w:tr>
      <w:tr w14:paraId="1BD351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2C9BD95">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47794658">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03FB8418">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1D117341">
            <w:pPr>
              <w:widowControl/>
              <w:spacing w:line="240" w:lineRule="auto"/>
              <w:rPr>
                <w:rFonts w:hint="eastAsia" w:ascii="宋体" w:hAnsi="宋体" w:eastAsia="宋体" w:cs="宋体"/>
                <w:color w:val="000000"/>
                <w:sz w:val="24"/>
                <w:szCs w:val="24"/>
              </w:rPr>
            </w:pPr>
          </w:p>
        </w:tc>
        <w:tc>
          <w:tcPr>
            <w:tcW w:w="687" w:type="pct"/>
            <w:noWrap w:val="0"/>
            <w:vAlign w:val="center"/>
          </w:tcPr>
          <w:p w14:paraId="39767DC1">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1-1-7</w:t>
            </w:r>
          </w:p>
        </w:tc>
        <w:tc>
          <w:tcPr>
            <w:tcW w:w="2282" w:type="pct"/>
            <w:noWrap w:val="0"/>
            <w:vAlign w:val="center"/>
          </w:tcPr>
          <w:p w14:paraId="1B275F42">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其他生态极敏感区及极脆弱区禁养区</w:t>
            </w:r>
          </w:p>
        </w:tc>
      </w:tr>
      <w:tr w14:paraId="4557E0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B40EE45">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189EA2DF">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180B431D">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5EEF52C3">
            <w:pPr>
              <w:widowControl/>
              <w:spacing w:line="240" w:lineRule="auto"/>
              <w:rPr>
                <w:rFonts w:hint="eastAsia" w:ascii="宋体" w:hAnsi="宋体" w:eastAsia="宋体" w:cs="宋体"/>
                <w:color w:val="000000"/>
                <w:sz w:val="24"/>
                <w:szCs w:val="24"/>
              </w:rPr>
            </w:pPr>
          </w:p>
        </w:tc>
        <w:tc>
          <w:tcPr>
            <w:tcW w:w="687" w:type="pct"/>
            <w:noWrap w:val="0"/>
            <w:vAlign w:val="center"/>
          </w:tcPr>
          <w:p w14:paraId="231C65F3">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1-1-8</w:t>
            </w:r>
          </w:p>
        </w:tc>
        <w:tc>
          <w:tcPr>
            <w:tcW w:w="2282" w:type="pct"/>
            <w:noWrap w:val="0"/>
            <w:vAlign w:val="center"/>
          </w:tcPr>
          <w:p w14:paraId="73419EAE">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其他生态功能极其重要区域禁养区</w:t>
            </w:r>
          </w:p>
        </w:tc>
      </w:tr>
      <w:tr w14:paraId="3C572A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40" w:hRule="atLeast"/>
          <w:jc w:val="center"/>
        </w:trPr>
        <w:tc>
          <w:tcPr>
            <w:tcW w:w="246" w:type="pct"/>
            <w:vMerge w:val="continue"/>
            <w:noWrap w:val="0"/>
            <w:vAlign w:val="center"/>
          </w:tcPr>
          <w:p w14:paraId="26028A73">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014780D4">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2AB8E30F">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5FF5BF7A">
            <w:pPr>
              <w:widowControl/>
              <w:spacing w:line="240" w:lineRule="auto"/>
              <w:rPr>
                <w:rFonts w:hint="eastAsia" w:ascii="宋体" w:hAnsi="宋体" w:eastAsia="宋体" w:cs="宋体"/>
                <w:color w:val="000000"/>
                <w:sz w:val="24"/>
                <w:szCs w:val="24"/>
              </w:rPr>
            </w:pPr>
          </w:p>
        </w:tc>
        <w:tc>
          <w:tcPr>
            <w:tcW w:w="687" w:type="pct"/>
            <w:noWrap w:val="0"/>
            <w:vAlign w:val="center"/>
          </w:tcPr>
          <w:p w14:paraId="2CE903AB">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1-1-9</w:t>
            </w:r>
          </w:p>
        </w:tc>
        <w:tc>
          <w:tcPr>
            <w:tcW w:w="2282" w:type="pct"/>
            <w:noWrap w:val="0"/>
            <w:vAlign w:val="center"/>
          </w:tcPr>
          <w:p w14:paraId="2373BCC9">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目前无明显人类活动，具有潜在重要生态价值的区域核心禁养区</w:t>
            </w:r>
          </w:p>
        </w:tc>
      </w:tr>
      <w:tr w14:paraId="66E0B4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4A8963B6">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2626C18D">
            <w:pPr>
              <w:widowControl/>
              <w:spacing w:line="240" w:lineRule="auto"/>
              <w:rPr>
                <w:rFonts w:hint="eastAsia" w:ascii="宋体" w:hAnsi="宋体" w:eastAsia="宋体" w:cs="宋体"/>
                <w:color w:val="000000"/>
                <w:sz w:val="24"/>
                <w:szCs w:val="24"/>
              </w:rPr>
            </w:pPr>
          </w:p>
        </w:tc>
        <w:tc>
          <w:tcPr>
            <w:tcW w:w="374" w:type="pct"/>
            <w:noWrap w:val="0"/>
            <w:vAlign w:val="center"/>
          </w:tcPr>
          <w:p w14:paraId="01259E53">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c>
          <w:tcPr>
            <w:tcW w:w="4124" w:type="pct"/>
            <w:gridSpan w:val="3"/>
            <w:noWrap w:val="0"/>
            <w:vAlign w:val="center"/>
          </w:tcPr>
          <w:p w14:paraId="7B79E0C8">
            <w:pPr>
              <w:widowControl/>
              <w:spacing w:line="240" w:lineRule="auto"/>
              <w:rPr>
                <w:rFonts w:hint="eastAsia" w:ascii="宋体" w:hAnsi="宋体" w:eastAsia="宋体" w:cs="宋体"/>
                <w:color w:val="000000"/>
                <w:sz w:val="24"/>
                <w:szCs w:val="24"/>
              </w:rPr>
            </w:pPr>
            <w:r>
              <w:rPr>
                <w:rFonts w:hint="eastAsia" w:ascii="宋体" w:hAnsi="宋体" w:eastAsia="宋体" w:cs="宋体"/>
                <w:b w:val="0"/>
                <w:bCs w:val="0"/>
                <w:color w:val="000000"/>
                <w:kern w:val="2"/>
                <w:sz w:val="24"/>
                <w:szCs w:val="24"/>
                <w:lang w:val="en-US" w:eastAsia="zh-CN" w:bidi="ar-SA"/>
              </w:rPr>
              <w:t>饮用水水源地一级保护区禁养区</w:t>
            </w:r>
          </w:p>
        </w:tc>
      </w:tr>
      <w:tr w14:paraId="6769CD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43C954DC">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25C8E6E8">
            <w:pPr>
              <w:widowControl/>
              <w:spacing w:line="240" w:lineRule="auto"/>
              <w:rPr>
                <w:rFonts w:hint="eastAsia" w:ascii="宋体" w:hAnsi="宋体" w:eastAsia="宋体" w:cs="宋体"/>
                <w:color w:val="000000"/>
                <w:sz w:val="24"/>
                <w:szCs w:val="24"/>
              </w:rPr>
            </w:pPr>
          </w:p>
        </w:tc>
        <w:tc>
          <w:tcPr>
            <w:tcW w:w="374" w:type="pct"/>
            <w:noWrap w:val="0"/>
            <w:vAlign w:val="center"/>
          </w:tcPr>
          <w:p w14:paraId="7AC3AC10">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w:t>
            </w:r>
          </w:p>
        </w:tc>
        <w:tc>
          <w:tcPr>
            <w:tcW w:w="4124" w:type="pct"/>
            <w:gridSpan w:val="3"/>
            <w:noWrap w:val="0"/>
            <w:vAlign w:val="center"/>
          </w:tcPr>
          <w:p w14:paraId="37D031B1">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城镇开发边界禁养区</w:t>
            </w:r>
          </w:p>
        </w:tc>
      </w:tr>
      <w:tr w14:paraId="027C5E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1E847D3">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59B16430">
            <w:pPr>
              <w:widowControl/>
              <w:spacing w:line="240" w:lineRule="auto"/>
              <w:rPr>
                <w:rFonts w:hint="eastAsia" w:ascii="宋体" w:hAnsi="宋体" w:eastAsia="宋体" w:cs="宋体"/>
                <w:color w:val="000000"/>
                <w:sz w:val="24"/>
                <w:szCs w:val="24"/>
              </w:rPr>
            </w:pPr>
          </w:p>
        </w:tc>
        <w:tc>
          <w:tcPr>
            <w:tcW w:w="374" w:type="pct"/>
            <w:noWrap w:val="0"/>
            <w:vAlign w:val="center"/>
          </w:tcPr>
          <w:p w14:paraId="4A7B88A5">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c>
          <w:tcPr>
            <w:tcW w:w="4124" w:type="pct"/>
            <w:gridSpan w:val="3"/>
            <w:noWrap w:val="0"/>
            <w:vAlign w:val="center"/>
          </w:tcPr>
          <w:p w14:paraId="239C52AB">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耕地及永久基本农田保护红线禁养区</w:t>
            </w:r>
          </w:p>
        </w:tc>
      </w:tr>
      <w:tr w14:paraId="33062C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30E7C96">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65DE3869">
            <w:pPr>
              <w:widowControl/>
              <w:spacing w:line="240" w:lineRule="auto"/>
              <w:rPr>
                <w:rFonts w:hint="eastAsia" w:ascii="宋体" w:hAnsi="宋体" w:eastAsia="宋体" w:cs="宋体"/>
                <w:color w:val="000000"/>
                <w:sz w:val="24"/>
                <w:szCs w:val="24"/>
              </w:rPr>
            </w:pPr>
          </w:p>
        </w:tc>
        <w:tc>
          <w:tcPr>
            <w:tcW w:w="374" w:type="pct"/>
            <w:noWrap w:val="0"/>
            <w:vAlign w:val="center"/>
          </w:tcPr>
          <w:p w14:paraId="6B0F6E0C">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4124" w:type="pct"/>
            <w:gridSpan w:val="3"/>
            <w:noWrap w:val="0"/>
            <w:vAlign w:val="center"/>
          </w:tcPr>
          <w:p w14:paraId="3F05FCB8">
            <w:pPr>
              <w:widowControl/>
              <w:spacing w:line="24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国家级水产种质资源保护</w:t>
            </w:r>
            <w:r>
              <w:rPr>
                <w:rFonts w:hint="eastAsia" w:ascii="宋体" w:hAnsi="宋体" w:eastAsia="宋体" w:cs="宋体"/>
                <w:color w:val="000000"/>
                <w:sz w:val="24"/>
                <w:szCs w:val="24"/>
                <w:lang w:val="en-US" w:eastAsia="zh-CN"/>
              </w:rPr>
              <w:t>区核心区</w:t>
            </w:r>
            <w:r>
              <w:rPr>
                <w:rFonts w:hint="eastAsia" w:ascii="宋体" w:hAnsi="宋体" w:eastAsia="宋体" w:cs="宋体"/>
                <w:color w:val="000000"/>
                <w:sz w:val="24"/>
                <w:szCs w:val="24"/>
              </w:rPr>
              <w:t>禁养区</w:t>
            </w:r>
            <w:r>
              <w:rPr>
                <w:rFonts w:hint="eastAsia" w:ascii="宋体" w:hAnsi="宋体" w:eastAsia="宋体" w:cs="宋体"/>
                <w:color w:val="000000"/>
                <w:sz w:val="24"/>
                <w:szCs w:val="24"/>
                <w:lang w:val="en-US" w:eastAsia="zh-CN"/>
              </w:rPr>
              <w:t xml:space="preserve">  </w:t>
            </w:r>
          </w:p>
        </w:tc>
      </w:tr>
      <w:tr w14:paraId="728AE4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F73A4F0">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7A7A6382">
            <w:pPr>
              <w:widowControl/>
              <w:spacing w:line="240" w:lineRule="auto"/>
              <w:rPr>
                <w:rFonts w:hint="eastAsia" w:ascii="宋体" w:hAnsi="宋体" w:eastAsia="宋体" w:cs="宋体"/>
                <w:color w:val="000000"/>
                <w:sz w:val="24"/>
                <w:szCs w:val="24"/>
              </w:rPr>
            </w:pPr>
          </w:p>
        </w:tc>
        <w:tc>
          <w:tcPr>
            <w:tcW w:w="374" w:type="pct"/>
            <w:vMerge w:val="restart"/>
            <w:noWrap w:val="0"/>
            <w:vAlign w:val="center"/>
          </w:tcPr>
          <w:p w14:paraId="41F75387">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w:t>
            </w:r>
          </w:p>
        </w:tc>
        <w:tc>
          <w:tcPr>
            <w:tcW w:w="1153" w:type="pct"/>
            <w:vMerge w:val="restart"/>
            <w:noWrap w:val="0"/>
            <w:vAlign w:val="center"/>
          </w:tcPr>
          <w:p w14:paraId="4E29EDEC">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自然灾害综合风险重点防控区及其他高风险区域禁养区</w:t>
            </w:r>
          </w:p>
        </w:tc>
        <w:tc>
          <w:tcPr>
            <w:tcW w:w="687" w:type="pct"/>
            <w:noWrap w:val="0"/>
            <w:vAlign w:val="center"/>
          </w:tcPr>
          <w:p w14:paraId="79C7585C">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1-6-1</w:t>
            </w:r>
          </w:p>
        </w:tc>
        <w:tc>
          <w:tcPr>
            <w:tcW w:w="2282" w:type="pct"/>
            <w:noWrap w:val="0"/>
            <w:vAlign w:val="center"/>
          </w:tcPr>
          <w:p w14:paraId="4F6948C3">
            <w:pPr>
              <w:widowControl/>
              <w:spacing w:line="24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地震地质灾害禁养区</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FF0000"/>
                <w:sz w:val="24"/>
                <w:szCs w:val="24"/>
                <w:lang w:val="en-US" w:eastAsia="zh-CN"/>
              </w:rPr>
              <w:t xml:space="preserve"> </w:t>
            </w:r>
          </w:p>
        </w:tc>
      </w:tr>
      <w:tr w14:paraId="2CA5C8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6F75720">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243722DA">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0DDD006E">
            <w:pPr>
              <w:widowControl/>
              <w:spacing w:line="240" w:lineRule="auto"/>
              <w:jc w:val="center"/>
              <w:rPr>
                <w:rFonts w:hint="eastAsia" w:ascii="宋体" w:hAnsi="宋体" w:eastAsia="宋体" w:cs="宋体"/>
                <w:color w:val="000000"/>
                <w:sz w:val="24"/>
                <w:szCs w:val="24"/>
                <w:lang w:val="en-US" w:eastAsia="zh-CN"/>
              </w:rPr>
            </w:pPr>
          </w:p>
        </w:tc>
        <w:tc>
          <w:tcPr>
            <w:tcW w:w="1153" w:type="pct"/>
            <w:vMerge w:val="continue"/>
            <w:noWrap w:val="0"/>
            <w:vAlign w:val="center"/>
          </w:tcPr>
          <w:p w14:paraId="03512523">
            <w:pPr>
              <w:widowControl/>
              <w:spacing w:line="240" w:lineRule="auto"/>
              <w:rPr>
                <w:rFonts w:hint="eastAsia" w:ascii="宋体" w:hAnsi="宋体" w:eastAsia="宋体" w:cs="宋体"/>
                <w:color w:val="000000"/>
                <w:sz w:val="24"/>
                <w:szCs w:val="24"/>
              </w:rPr>
            </w:pPr>
          </w:p>
        </w:tc>
        <w:tc>
          <w:tcPr>
            <w:tcW w:w="687" w:type="pct"/>
            <w:noWrap w:val="0"/>
            <w:vAlign w:val="center"/>
          </w:tcPr>
          <w:p w14:paraId="5670BDCA">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1-6-2</w:t>
            </w:r>
          </w:p>
        </w:tc>
        <w:tc>
          <w:tcPr>
            <w:tcW w:w="2282" w:type="pct"/>
            <w:noWrap w:val="0"/>
            <w:vAlign w:val="center"/>
          </w:tcPr>
          <w:p w14:paraId="51D87DBE">
            <w:pPr>
              <w:widowControl/>
              <w:spacing w:line="24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洪涝自然灾害禁养区</w:t>
            </w:r>
            <w:r>
              <w:rPr>
                <w:rFonts w:hint="eastAsia" w:ascii="宋体" w:hAnsi="宋体" w:eastAsia="宋体" w:cs="宋体"/>
                <w:color w:val="000000"/>
                <w:sz w:val="24"/>
                <w:szCs w:val="24"/>
                <w:lang w:val="en-US" w:eastAsia="zh-CN"/>
              </w:rPr>
              <w:t xml:space="preserve">  </w:t>
            </w:r>
          </w:p>
        </w:tc>
      </w:tr>
      <w:tr w14:paraId="55E126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40" w:hRule="atLeast"/>
          <w:jc w:val="center"/>
        </w:trPr>
        <w:tc>
          <w:tcPr>
            <w:tcW w:w="246" w:type="pct"/>
            <w:vMerge w:val="continue"/>
            <w:noWrap w:val="0"/>
            <w:vAlign w:val="center"/>
          </w:tcPr>
          <w:p w14:paraId="50F7B36C">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3EEE5312">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729FCA2C">
            <w:pPr>
              <w:widowControl/>
              <w:spacing w:line="240" w:lineRule="auto"/>
              <w:jc w:val="center"/>
              <w:rPr>
                <w:rFonts w:hint="eastAsia" w:ascii="宋体" w:hAnsi="宋体" w:eastAsia="宋体" w:cs="宋体"/>
                <w:color w:val="000000"/>
                <w:sz w:val="24"/>
                <w:szCs w:val="24"/>
                <w:lang w:val="en-US" w:eastAsia="zh-CN"/>
              </w:rPr>
            </w:pPr>
          </w:p>
        </w:tc>
        <w:tc>
          <w:tcPr>
            <w:tcW w:w="1153" w:type="pct"/>
            <w:vMerge w:val="continue"/>
            <w:noWrap w:val="0"/>
            <w:vAlign w:val="center"/>
          </w:tcPr>
          <w:p w14:paraId="26BE7B15">
            <w:pPr>
              <w:widowControl/>
              <w:spacing w:line="240" w:lineRule="auto"/>
              <w:rPr>
                <w:rFonts w:hint="eastAsia" w:ascii="宋体" w:hAnsi="宋体" w:eastAsia="宋体" w:cs="宋体"/>
                <w:color w:val="000000"/>
                <w:sz w:val="24"/>
                <w:szCs w:val="24"/>
              </w:rPr>
            </w:pPr>
          </w:p>
        </w:tc>
        <w:tc>
          <w:tcPr>
            <w:tcW w:w="687" w:type="pct"/>
            <w:noWrap w:val="0"/>
            <w:vAlign w:val="center"/>
          </w:tcPr>
          <w:p w14:paraId="09021811">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1-6-3</w:t>
            </w:r>
          </w:p>
        </w:tc>
        <w:tc>
          <w:tcPr>
            <w:tcW w:w="2282" w:type="pct"/>
            <w:noWrap w:val="0"/>
            <w:vAlign w:val="center"/>
          </w:tcPr>
          <w:p w14:paraId="6BCB44FE">
            <w:pPr>
              <w:widowControl/>
              <w:spacing w:line="24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战略性矿产资源安全保障核心区及接续区禁养区</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FF0000"/>
                <w:sz w:val="24"/>
                <w:szCs w:val="24"/>
                <w:lang w:val="en-US" w:eastAsia="zh-CN"/>
              </w:rPr>
              <w:t xml:space="preserve"> </w:t>
            </w:r>
          </w:p>
        </w:tc>
      </w:tr>
      <w:tr w14:paraId="27C71A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58934085">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690AB8E8">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5194E427">
            <w:pPr>
              <w:widowControl/>
              <w:spacing w:line="240" w:lineRule="auto"/>
              <w:jc w:val="center"/>
              <w:rPr>
                <w:rFonts w:hint="eastAsia" w:ascii="宋体" w:hAnsi="宋体" w:eastAsia="宋体" w:cs="宋体"/>
                <w:color w:val="000000"/>
                <w:sz w:val="24"/>
                <w:szCs w:val="24"/>
                <w:lang w:val="en-US" w:eastAsia="zh-CN"/>
              </w:rPr>
            </w:pPr>
          </w:p>
        </w:tc>
        <w:tc>
          <w:tcPr>
            <w:tcW w:w="1153" w:type="pct"/>
            <w:vMerge w:val="continue"/>
            <w:noWrap w:val="0"/>
            <w:vAlign w:val="center"/>
          </w:tcPr>
          <w:p w14:paraId="7250782A">
            <w:pPr>
              <w:widowControl/>
              <w:spacing w:line="240" w:lineRule="auto"/>
              <w:rPr>
                <w:rFonts w:hint="eastAsia" w:ascii="宋体" w:hAnsi="宋体" w:eastAsia="宋体" w:cs="宋体"/>
                <w:color w:val="000000"/>
                <w:sz w:val="24"/>
                <w:szCs w:val="24"/>
              </w:rPr>
            </w:pPr>
          </w:p>
        </w:tc>
        <w:tc>
          <w:tcPr>
            <w:tcW w:w="687" w:type="pct"/>
            <w:noWrap w:val="0"/>
            <w:vAlign w:val="center"/>
          </w:tcPr>
          <w:p w14:paraId="62A7F2D4">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1-6-4</w:t>
            </w:r>
          </w:p>
        </w:tc>
        <w:tc>
          <w:tcPr>
            <w:tcW w:w="2282" w:type="pct"/>
            <w:noWrap w:val="0"/>
            <w:vAlign w:val="center"/>
          </w:tcPr>
          <w:p w14:paraId="021F30D4">
            <w:pPr>
              <w:widowControl/>
              <w:spacing w:line="24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历史文化保护线禁养区</w:t>
            </w:r>
            <w:r>
              <w:rPr>
                <w:rFonts w:hint="eastAsia" w:ascii="宋体" w:hAnsi="宋体" w:eastAsia="宋体" w:cs="宋体"/>
                <w:color w:val="000000"/>
                <w:sz w:val="24"/>
                <w:szCs w:val="24"/>
                <w:lang w:val="en-US" w:eastAsia="zh-CN"/>
              </w:rPr>
              <w:t xml:space="preserve"> </w:t>
            </w:r>
          </w:p>
        </w:tc>
      </w:tr>
      <w:tr w14:paraId="5C5245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04C2556">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163B0D96">
            <w:pPr>
              <w:widowControl/>
              <w:spacing w:line="240" w:lineRule="auto"/>
              <w:rPr>
                <w:rFonts w:hint="eastAsia" w:ascii="宋体" w:hAnsi="宋体" w:eastAsia="宋体" w:cs="宋体"/>
                <w:color w:val="000000"/>
                <w:sz w:val="24"/>
                <w:szCs w:val="24"/>
              </w:rPr>
            </w:pPr>
          </w:p>
        </w:tc>
        <w:tc>
          <w:tcPr>
            <w:tcW w:w="374" w:type="pct"/>
            <w:noWrap w:val="0"/>
            <w:vAlign w:val="center"/>
          </w:tcPr>
          <w:p w14:paraId="7B324F5C">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w:t>
            </w:r>
          </w:p>
        </w:tc>
        <w:tc>
          <w:tcPr>
            <w:tcW w:w="4124" w:type="pct"/>
            <w:gridSpan w:val="3"/>
            <w:noWrap w:val="0"/>
            <w:vAlign w:val="center"/>
          </w:tcPr>
          <w:p w14:paraId="4B3D543C">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公共设施安全区域禁养区（港口、航道、行洪区、河道堤防安全区等）</w:t>
            </w:r>
          </w:p>
        </w:tc>
      </w:tr>
      <w:tr w14:paraId="60953E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64BA8AE">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01758028">
            <w:pPr>
              <w:widowControl/>
              <w:spacing w:line="240" w:lineRule="auto"/>
              <w:rPr>
                <w:rFonts w:hint="eastAsia" w:ascii="宋体" w:hAnsi="宋体" w:eastAsia="宋体" w:cs="宋体"/>
                <w:color w:val="000000"/>
                <w:sz w:val="24"/>
                <w:szCs w:val="24"/>
              </w:rPr>
            </w:pPr>
          </w:p>
        </w:tc>
        <w:tc>
          <w:tcPr>
            <w:tcW w:w="374" w:type="pct"/>
            <w:noWrap w:val="0"/>
            <w:vAlign w:val="center"/>
          </w:tcPr>
          <w:p w14:paraId="10F5EDDC">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4124" w:type="pct"/>
            <w:gridSpan w:val="3"/>
            <w:noWrap w:val="0"/>
            <w:vAlign w:val="center"/>
          </w:tcPr>
          <w:p w14:paraId="5C7682C6">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有毒有害物质超过规定标准水体禁养区</w:t>
            </w:r>
          </w:p>
        </w:tc>
      </w:tr>
      <w:tr w14:paraId="3A41AC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2287DDC1">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1B53F581">
            <w:pPr>
              <w:widowControl/>
              <w:spacing w:line="240" w:lineRule="auto"/>
              <w:rPr>
                <w:rFonts w:hint="eastAsia" w:ascii="宋体" w:hAnsi="宋体" w:eastAsia="宋体" w:cs="宋体"/>
                <w:color w:val="000000"/>
                <w:sz w:val="24"/>
                <w:szCs w:val="24"/>
              </w:rPr>
            </w:pPr>
          </w:p>
        </w:tc>
        <w:tc>
          <w:tcPr>
            <w:tcW w:w="374" w:type="pct"/>
            <w:noWrap w:val="0"/>
            <w:vAlign w:val="center"/>
          </w:tcPr>
          <w:p w14:paraId="424ACA27">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4124" w:type="pct"/>
            <w:gridSpan w:val="3"/>
            <w:noWrap w:val="0"/>
            <w:vAlign w:val="center"/>
          </w:tcPr>
          <w:p w14:paraId="2433734B">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法律法规规定的其他禁养区</w:t>
            </w:r>
          </w:p>
        </w:tc>
      </w:tr>
      <w:tr w14:paraId="2FBD74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restart"/>
            <w:noWrap w:val="0"/>
            <w:vAlign w:val="center"/>
          </w:tcPr>
          <w:p w14:paraId="44594C01">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54" w:type="pct"/>
            <w:vMerge w:val="restart"/>
            <w:noWrap w:val="0"/>
            <w:vAlign w:val="center"/>
          </w:tcPr>
          <w:p w14:paraId="179C537B">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限</w:t>
            </w:r>
          </w:p>
          <w:p w14:paraId="6AB225E2">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养</w:t>
            </w:r>
          </w:p>
          <w:p w14:paraId="0A74F393">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区</w:t>
            </w:r>
          </w:p>
        </w:tc>
        <w:tc>
          <w:tcPr>
            <w:tcW w:w="374" w:type="pct"/>
            <w:vMerge w:val="restart"/>
            <w:noWrap w:val="0"/>
            <w:vAlign w:val="center"/>
          </w:tcPr>
          <w:p w14:paraId="35C7E812">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2-1</w:t>
            </w:r>
          </w:p>
        </w:tc>
        <w:tc>
          <w:tcPr>
            <w:tcW w:w="1153" w:type="pct"/>
            <w:vMerge w:val="restart"/>
            <w:noWrap w:val="0"/>
            <w:vAlign w:val="center"/>
          </w:tcPr>
          <w:p w14:paraId="3C2BA231">
            <w:pPr>
              <w:widowControl/>
              <w:spacing w:line="24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生态保护红线</w:t>
            </w:r>
            <w:r>
              <w:rPr>
                <w:rFonts w:hint="eastAsia" w:ascii="宋体" w:hAnsi="宋体" w:eastAsia="宋体" w:cs="宋体"/>
                <w:color w:val="000000"/>
                <w:sz w:val="24"/>
                <w:szCs w:val="24"/>
                <w:lang w:val="en-US" w:eastAsia="zh-CN"/>
              </w:rPr>
              <w:t>内一般控制区及</w:t>
            </w:r>
            <w:r>
              <w:rPr>
                <w:rFonts w:hint="eastAsia" w:ascii="宋体" w:hAnsi="宋体" w:eastAsia="宋体" w:cs="宋体"/>
                <w:color w:val="000000"/>
                <w:sz w:val="24"/>
                <w:szCs w:val="24"/>
              </w:rPr>
              <w:t>非核心区域</w:t>
            </w:r>
            <w:r>
              <w:rPr>
                <w:rFonts w:hint="eastAsia" w:ascii="宋体" w:hAnsi="宋体" w:eastAsia="宋体" w:cs="宋体"/>
                <w:color w:val="000000"/>
                <w:sz w:val="24"/>
                <w:szCs w:val="24"/>
                <w:lang w:val="en-US" w:eastAsia="zh-CN"/>
              </w:rPr>
              <w:t>限养区</w:t>
            </w:r>
          </w:p>
        </w:tc>
        <w:tc>
          <w:tcPr>
            <w:tcW w:w="687" w:type="pct"/>
            <w:noWrap w:val="0"/>
            <w:vAlign w:val="center"/>
          </w:tcPr>
          <w:p w14:paraId="7E3F071B">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2-1-1</w:t>
            </w:r>
          </w:p>
        </w:tc>
        <w:tc>
          <w:tcPr>
            <w:tcW w:w="2282" w:type="pct"/>
            <w:noWrap w:val="0"/>
            <w:vAlign w:val="center"/>
          </w:tcPr>
          <w:p w14:paraId="7CB94620">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自然保护地一般控制区</w:t>
            </w:r>
            <w:r>
              <w:rPr>
                <w:rFonts w:hint="eastAsia" w:ascii="宋体" w:hAnsi="宋体" w:eastAsia="宋体" w:cs="宋体"/>
                <w:color w:val="000000"/>
                <w:sz w:val="24"/>
                <w:szCs w:val="24"/>
                <w:lang w:val="en-US" w:eastAsia="zh-CN"/>
              </w:rPr>
              <w:t>限养区</w:t>
            </w:r>
          </w:p>
        </w:tc>
      </w:tr>
      <w:tr w14:paraId="0E180F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C70969F">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0C09FB1B">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08D70325">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0BC58BEC">
            <w:pPr>
              <w:widowControl/>
              <w:spacing w:line="240" w:lineRule="auto"/>
              <w:rPr>
                <w:rFonts w:hint="eastAsia" w:ascii="宋体" w:hAnsi="宋体" w:eastAsia="宋体" w:cs="宋体"/>
                <w:color w:val="000000"/>
                <w:sz w:val="24"/>
                <w:szCs w:val="24"/>
              </w:rPr>
            </w:pPr>
          </w:p>
        </w:tc>
        <w:tc>
          <w:tcPr>
            <w:tcW w:w="687" w:type="pct"/>
            <w:noWrap w:val="0"/>
            <w:vAlign w:val="center"/>
          </w:tcPr>
          <w:p w14:paraId="60B64FC1">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-2</w:t>
            </w:r>
          </w:p>
        </w:tc>
        <w:tc>
          <w:tcPr>
            <w:tcW w:w="2282" w:type="pct"/>
            <w:noWrap w:val="0"/>
            <w:vAlign w:val="center"/>
          </w:tcPr>
          <w:p w14:paraId="5F4D0A2C">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重要水源涵养区</w:t>
            </w:r>
            <w:r>
              <w:rPr>
                <w:rFonts w:hint="eastAsia" w:ascii="宋体" w:hAnsi="宋体" w:eastAsia="宋体" w:cs="宋体"/>
                <w:color w:val="000000"/>
                <w:sz w:val="24"/>
                <w:szCs w:val="24"/>
                <w:lang w:val="en-US" w:eastAsia="zh-CN"/>
              </w:rPr>
              <w:t>限养区</w:t>
            </w:r>
          </w:p>
        </w:tc>
      </w:tr>
      <w:tr w14:paraId="188D85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3EC7D237">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07A55884">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6165E7E5">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3BB43DC7">
            <w:pPr>
              <w:widowControl/>
              <w:spacing w:line="240" w:lineRule="auto"/>
              <w:rPr>
                <w:rFonts w:hint="eastAsia" w:ascii="宋体" w:hAnsi="宋体" w:eastAsia="宋体" w:cs="宋体"/>
                <w:color w:val="000000"/>
                <w:sz w:val="24"/>
                <w:szCs w:val="24"/>
              </w:rPr>
            </w:pPr>
          </w:p>
        </w:tc>
        <w:tc>
          <w:tcPr>
            <w:tcW w:w="687" w:type="pct"/>
            <w:noWrap w:val="0"/>
            <w:vAlign w:val="center"/>
          </w:tcPr>
          <w:p w14:paraId="65D011CD">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2-1-3</w:t>
            </w:r>
          </w:p>
        </w:tc>
        <w:tc>
          <w:tcPr>
            <w:tcW w:w="2282" w:type="pct"/>
            <w:noWrap w:val="0"/>
            <w:vAlign w:val="center"/>
          </w:tcPr>
          <w:p w14:paraId="76F88CC6">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生物多样性维护区</w:t>
            </w:r>
            <w:r>
              <w:rPr>
                <w:rFonts w:hint="eastAsia" w:ascii="宋体" w:hAnsi="宋体" w:eastAsia="宋体" w:cs="宋体"/>
                <w:color w:val="000000"/>
                <w:sz w:val="24"/>
                <w:szCs w:val="24"/>
                <w:lang w:val="en-US" w:eastAsia="zh-CN"/>
              </w:rPr>
              <w:t>限养区</w:t>
            </w:r>
          </w:p>
        </w:tc>
      </w:tr>
      <w:tr w14:paraId="30770D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53758DAA">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70E90061">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76950B1A">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1E7AAF24">
            <w:pPr>
              <w:widowControl/>
              <w:spacing w:line="240" w:lineRule="auto"/>
              <w:rPr>
                <w:rFonts w:hint="eastAsia" w:ascii="宋体" w:hAnsi="宋体" w:eastAsia="宋体" w:cs="宋体"/>
                <w:color w:val="000000"/>
                <w:sz w:val="24"/>
                <w:szCs w:val="24"/>
              </w:rPr>
            </w:pPr>
          </w:p>
        </w:tc>
        <w:tc>
          <w:tcPr>
            <w:tcW w:w="687" w:type="pct"/>
            <w:noWrap w:val="0"/>
            <w:vAlign w:val="center"/>
          </w:tcPr>
          <w:p w14:paraId="63F86F03">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2-1-4</w:t>
            </w:r>
          </w:p>
        </w:tc>
        <w:tc>
          <w:tcPr>
            <w:tcW w:w="2282" w:type="pct"/>
            <w:noWrap w:val="0"/>
            <w:vAlign w:val="center"/>
          </w:tcPr>
          <w:p w14:paraId="0F9570B4">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水土保持区</w:t>
            </w:r>
            <w:r>
              <w:rPr>
                <w:rFonts w:hint="eastAsia" w:ascii="宋体" w:hAnsi="宋体" w:eastAsia="宋体" w:cs="宋体"/>
                <w:color w:val="000000"/>
                <w:sz w:val="24"/>
                <w:szCs w:val="24"/>
                <w:lang w:val="en-US" w:eastAsia="zh-CN"/>
              </w:rPr>
              <w:t>限养区</w:t>
            </w:r>
          </w:p>
        </w:tc>
      </w:tr>
      <w:tr w14:paraId="682118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77912FBA">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7F2F7ED6">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7B7400BA">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344C8533">
            <w:pPr>
              <w:widowControl/>
              <w:spacing w:line="240" w:lineRule="auto"/>
              <w:rPr>
                <w:rFonts w:hint="eastAsia" w:ascii="宋体" w:hAnsi="宋体" w:eastAsia="宋体" w:cs="宋体"/>
                <w:color w:val="000000"/>
                <w:sz w:val="24"/>
                <w:szCs w:val="24"/>
              </w:rPr>
            </w:pPr>
          </w:p>
        </w:tc>
        <w:tc>
          <w:tcPr>
            <w:tcW w:w="687" w:type="pct"/>
            <w:noWrap w:val="0"/>
            <w:vAlign w:val="center"/>
          </w:tcPr>
          <w:p w14:paraId="01AA922B">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2-1-5</w:t>
            </w:r>
          </w:p>
        </w:tc>
        <w:tc>
          <w:tcPr>
            <w:tcW w:w="2282" w:type="pct"/>
            <w:noWrap w:val="0"/>
            <w:vAlign w:val="center"/>
          </w:tcPr>
          <w:p w14:paraId="75654FE2">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防风固沙区</w:t>
            </w:r>
            <w:r>
              <w:rPr>
                <w:rFonts w:hint="eastAsia" w:ascii="宋体" w:hAnsi="宋体" w:eastAsia="宋体" w:cs="宋体"/>
                <w:color w:val="000000"/>
                <w:sz w:val="24"/>
                <w:szCs w:val="24"/>
                <w:lang w:val="en-US" w:eastAsia="zh-CN"/>
              </w:rPr>
              <w:t>限养区</w:t>
            </w:r>
          </w:p>
        </w:tc>
      </w:tr>
      <w:tr w14:paraId="4EE42F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03214B9C">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72DCA231">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29A8C120">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5ADD0511">
            <w:pPr>
              <w:widowControl/>
              <w:spacing w:line="240" w:lineRule="auto"/>
              <w:rPr>
                <w:rFonts w:hint="eastAsia" w:ascii="宋体" w:hAnsi="宋体" w:eastAsia="宋体" w:cs="宋体"/>
                <w:color w:val="000000"/>
                <w:sz w:val="24"/>
                <w:szCs w:val="24"/>
              </w:rPr>
            </w:pPr>
          </w:p>
        </w:tc>
        <w:tc>
          <w:tcPr>
            <w:tcW w:w="687" w:type="pct"/>
            <w:noWrap w:val="0"/>
            <w:vAlign w:val="center"/>
          </w:tcPr>
          <w:p w14:paraId="7567494B">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2-1-6</w:t>
            </w:r>
          </w:p>
        </w:tc>
        <w:tc>
          <w:tcPr>
            <w:tcW w:w="2282" w:type="pct"/>
            <w:noWrap w:val="0"/>
            <w:vAlign w:val="center"/>
          </w:tcPr>
          <w:p w14:paraId="114EDDDF">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其他生态极敏感区及极脆弱区</w:t>
            </w:r>
            <w:r>
              <w:rPr>
                <w:rFonts w:hint="eastAsia" w:ascii="宋体" w:hAnsi="宋体" w:eastAsia="宋体" w:cs="宋体"/>
                <w:color w:val="000000"/>
                <w:sz w:val="24"/>
                <w:szCs w:val="24"/>
                <w:lang w:val="en-US" w:eastAsia="zh-CN"/>
              </w:rPr>
              <w:t>限养区</w:t>
            </w:r>
          </w:p>
        </w:tc>
      </w:tr>
      <w:tr w14:paraId="4CA4E6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729DEEBD">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1B0CD775">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4D2D9F46">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7F6C9CD8">
            <w:pPr>
              <w:widowControl/>
              <w:spacing w:line="240" w:lineRule="auto"/>
              <w:rPr>
                <w:rFonts w:hint="eastAsia" w:ascii="宋体" w:hAnsi="宋体" w:eastAsia="宋体" w:cs="宋体"/>
                <w:color w:val="000000"/>
                <w:sz w:val="24"/>
                <w:szCs w:val="24"/>
              </w:rPr>
            </w:pPr>
          </w:p>
        </w:tc>
        <w:tc>
          <w:tcPr>
            <w:tcW w:w="687" w:type="pct"/>
            <w:noWrap w:val="0"/>
            <w:vAlign w:val="center"/>
          </w:tcPr>
          <w:p w14:paraId="4F05A3BC">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2-1-7</w:t>
            </w:r>
          </w:p>
        </w:tc>
        <w:tc>
          <w:tcPr>
            <w:tcW w:w="2282" w:type="pct"/>
            <w:noWrap w:val="0"/>
            <w:vAlign w:val="center"/>
          </w:tcPr>
          <w:p w14:paraId="697E97E3">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其他生态功能极其重要区域</w:t>
            </w:r>
            <w:r>
              <w:rPr>
                <w:rFonts w:hint="eastAsia" w:ascii="宋体" w:hAnsi="宋体" w:eastAsia="宋体" w:cs="宋体"/>
                <w:color w:val="000000"/>
                <w:sz w:val="24"/>
                <w:szCs w:val="24"/>
                <w:lang w:val="en-US" w:eastAsia="zh-CN"/>
              </w:rPr>
              <w:t>限养区</w:t>
            </w:r>
          </w:p>
        </w:tc>
      </w:tr>
      <w:tr w14:paraId="3434BB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36" w:hRule="atLeast"/>
          <w:jc w:val="center"/>
        </w:trPr>
        <w:tc>
          <w:tcPr>
            <w:tcW w:w="246" w:type="pct"/>
            <w:vMerge w:val="continue"/>
            <w:noWrap w:val="0"/>
            <w:vAlign w:val="center"/>
          </w:tcPr>
          <w:p w14:paraId="7101D7C5">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79EB5B6E">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519A0721">
            <w:pPr>
              <w:widowControl/>
              <w:spacing w:line="240" w:lineRule="auto"/>
              <w:jc w:val="center"/>
              <w:rPr>
                <w:rFonts w:hint="eastAsia" w:ascii="宋体" w:hAnsi="宋体" w:eastAsia="宋体" w:cs="宋体"/>
                <w:color w:val="000000"/>
                <w:sz w:val="24"/>
                <w:szCs w:val="24"/>
              </w:rPr>
            </w:pPr>
          </w:p>
        </w:tc>
        <w:tc>
          <w:tcPr>
            <w:tcW w:w="1153" w:type="pct"/>
            <w:vMerge w:val="continue"/>
            <w:noWrap w:val="0"/>
            <w:vAlign w:val="center"/>
          </w:tcPr>
          <w:p w14:paraId="2739FFF2">
            <w:pPr>
              <w:widowControl/>
              <w:spacing w:line="240" w:lineRule="auto"/>
              <w:rPr>
                <w:rFonts w:hint="eastAsia" w:ascii="宋体" w:hAnsi="宋体" w:eastAsia="宋体" w:cs="宋体"/>
                <w:color w:val="000000"/>
                <w:sz w:val="24"/>
                <w:szCs w:val="24"/>
              </w:rPr>
            </w:pPr>
          </w:p>
        </w:tc>
        <w:tc>
          <w:tcPr>
            <w:tcW w:w="687" w:type="pct"/>
            <w:noWrap w:val="0"/>
            <w:vAlign w:val="center"/>
          </w:tcPr>
          <w:p w14:paraId="645D5FE0">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2-1-8</w:t>
            </w:r>
          </w:p>
        </w:tc>
        <w:tc>
          <w:tcPr>
            <w:tcW w:w="2282" w:type="pct"/>
            <w:noWrap w:val="0"/>
            <w:vAlign w:val="center"/>
          </w:tcPr>
          <w:p w14:paraId="6CC375E0">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目前无明显人类活动，具有潜在重要生态价值，必须强制性严格保护地区非核心区</w:t>
            </w:r>
            <w:r>
              <w:rPr>
                <w:rFonts w:hint="eastAsia" w:ascii="宋体" w:hAnsi="宋体" w:eastAsia="宋体" w:cs="宋体"/>
                <w:color w:val="000000"/>
                <w:sz w:val="24"/>
                <w:szCs w:val="24"/>
                <w:lang w:val="en-US" w:eastAsia="zh-CN"/>
              </w:rPr>
              <w:t>限养区</w:t>
            </w:r>
          </w:p>
        </w:tc>
      </w:tr>
      <w:tr w14:paraId="2DDD12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6ECFC665">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17766145">
            <w:pPr>
              <w:widowControl/>
              <w:spacing w:line="240" w:lineRule="auto"/>
              <w:rPr>
                <w:rFonts w:hint="eastAsia" w:ascii="宋体" w:hAnsi="宋体" w:eastAsia="宋体" w:cs="宋体"/>
                <w:color w:val="000000"/>
                <w:sz w:val="24"/>
                <w:szCs w:val="24"/>
              </w:rPr>
            </w:pPr>
          </w:p>
        </w:tc>
        <w:tc>
          <w:tcPr>
            <w:tcW w:w="374" w:type="pct"/>
            <w:noWrap w:val="0"/>
            <w:vAlign w:val="center"/>
          </w:tcPr>
          <w:p w14:paraId="275D527A">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2-2</w:t>
            </w:r>
          </w:p>
        </w:tc>
        <w:tc>
          <w:tcPr>
            <w:tcW w:w="4124" w:type="pct"/>
            <w:gridSpan w:val="3"/>
            <w:noWrap w:val="0"/>
            <w:vAlign w:val="center"/>
          </w:tcPr>
          <w:p w14:paraId="061742AE">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饮用水水源地二级保护区</w:t>
            </w:r>
            <w:r>
              <w:rPr>
                <w:rFonts w:hint="eastAsia" w:ascii="宋体" w:hAnsi="宋体" w:eastAsia="宋体" w:cs="宋体"/>
                <w:color w:val="000000"/>
                <w:sz w:val="24"/>
                <w:szCs w:val="24"/>
                <w:lang w:val="en-US" w:eastAsia="zh-CN"/>
              </w:rPr>
              <w:t>限养区</w:t>
            </w:r>
          </w:p>
        </w:tc>
      </w:tr>
      <w:tr w14:paraId="33FB0B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247C6290">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50C8E0EC">
            <w:pPr>
              <w:widowControl/>
              <w:spacing w:line="240" w:lineRule="auto"/>
              <w:rPr>
                <w:rFonts w:hint="eastAsia" w:ascii="宋体" w:hAnsi="宋体" w:eastAsia="宋体" w:cs="宋体"/>
                <w:color w:val="000000"/>
                <w:sz w:val="24"/>
                <w:szCs w:val="24"/>
              </w:rPr>
            </w:pPr>
          </w:p>
        </w:tc>
        <w:tc>
          <w:tcPr>
            <w:tcW w:w="374" w:type="pct"/>
            <w:noWrap w:val="0"/>
            <w:vAlign w:val="center"/>
          </w:tcPr>
          <w:p w14:paraId="0D6CB23C">
            <w:pPr>
              <w:widowControl/>
              <w:spacing w:line="240" w:lineRule="auto"/>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2-3</w:t>
            </w:r>
          </w:p>
        </w:tc>
        <w:tc>
          <w:tcPr>
            <w:tcW w:w="4124" w:type="pct"/>
            <w:gridSpan w:val="3"/>
            <w:noWrap w:val="0"/>
            <w:vAlign w:val="center"/>
          </w:tcPr>
          <w:p w14:paraId="553F7059">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国家级水产种质资源保护区</w:t>
            </w:r>
            <w:r>
              <w:rPr>
                <w:rFonts w:hint="eastAsia" w:ascii="宋体" w:hAnsi="宋体" w:eastAsia="宋体" w:cs="宋体"/>
                <w:color w:val="000000"/>
                <w:sz w:val="24"/>
                <w:szCs w:val="24"/>
                <w:lang w:val="en-US" w:eastAsia="zh-CN"/>
              </w:rPr>
              <w:t>实验区限养区</w:t>
            </w:r>
          </w:p>
        </w:tc>
      </w:tr>
      <w:tr w14:paraId="7BB129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5632E619">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0CC8F00F">
            <w:pPr>
              <w:widowControl/>
              <w:spacing w:line="240" w:lineRule="auto"/>
              <w:rPr>
                <w:rFonts w:hint="eastAsia" w:ascii="宋体" w:hAnsi="宋体" w:eastAsia="宋体" w:cs="宋体"/>
                <w:color w:val="000000"/>
                <w:sz w:val="24"/>
                <w:szCs w:val="24"/>
              </w:rPr>
            </w:pPr>
          </w:p>
        </w:tc>
        <w:tc>
          <w:tcPr>
            <w:tcW w:w="374" w:type="pct"/>
            <w:noWrap w:val="0"/>
            <w:vAlign w:val="center"/>
          </w:tcPr>
          <w:p w14:paraId="1B37D503">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w:t>
            </w:r>
          </w:p>
        </w:tc>
        <w:tc>
          <w:tcPr>
            <w:tcW w:w="4124" w:type="pct"/>
            <w:gridSpan w:val="3"/>
            <w:noWrap w:val="0"/>
            <w:vAlign w:val="center"/>
          </w:tcPr>
          <w:p w14:paraId="512D3CFA">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风景名胜区限养区</w:t>
            </w:r>
          </w:p>
        </w:tc>
      </w:tr>
      <w:tr w14:paraId="439B62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28321D33">
            <w:pPr>
              <w:widowControl/>
              <w:spacing w:line="240" w:lineRule="auto"/>
              <w:jc w:val="center"/>
              <w:rPr>
                <w:rFonts w:hint="eastAsia" w:ascii="宋体" w:hAnsi="宋体" w:eastAsia="宋体" w:cs="宋体"/>
                <w:color w:val="000000"/>
                <w:sz w:val="24"/>
                <w:szCs w:val="24"/>
              </w:rPr>
            </w:pPr>
          </w:p>
        </w:tc>
        <w:tc>
          <w:tcPr>
            <w:tcW w:w="254" w:type="pct"/>
            <w:vMerge w:val="continue"/>
            <w:noWrap w:val="0"/>
            <w:vAlign w:val="center"/>
          </w:tcPr>
          <w:p w14:paraId="5778B9C5">
            <w:pPr>
              <w:widowControl/>
              <w:spacing w:line="240" w:lineRule="auto"/>
              <w:rPr>
                <w:rFonts w:hint="eastAsia" w:ascii="宋体" w:hAnsi="宋体" w:eastAsia="宋体" w:cs="宋体"/>
                <w:color w:val="000000"/>
                <w:sz w:val="24"/>
                <w:szCs w:val="24"/>
              </w:rPr>
            </w:pPr>
          </w:p>
        </w:tc>
        <w:tc>
          <w:tcPr>
            <w:tcW w:w="374" w:type="pct"/>
            <w:noWrap w:val="0"/>
            <w:vAlign w:val="center"/>
          </w:tcPr>
          <w:p w14:paraId="3CEDCB6E">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w:t>
            </w:r>
          </w:p>
        </w:tc>
        <w:tc>
          <w:tcPr>
            <w:tcW w:w="4124" w:type="pct"/>
            <w:gridSpan w:val="3"/>
            <w:noWrap w:val="0"/>
            <w:vAlign w:val="center"/>
          </w:tcPr>
          <w:p w14:paraId="5D8D4E21">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重点湖泊水库公共自然水域限养区</w:t>
            </w:r>
          </w:p>
        </w:tc>
      </w:tr>
      <w:tr w14:paraId="678A8A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restart"/>
            <w:noWrap w:val="0"/>
            <w:vAlign w:val="center"/>
          </w:tcPr>
          <w:p w14:paraId="1E7C4E0E">
            <w:pPr>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w:t>
            </w:r>
          </w:p>
        </w:tc>
        <w:tc>
          <w:tcPr>
            <w:tcW w:w="254" w:type="pct"/>
            <w:vMerge w:val="restart"/>
            <w:noWrap w:val="0"/>
            <w:vAlign w:val="center"/>
          </w:tcPr>
          <w:p w14:paraId="77ED4642">
            <w:pPr>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养</w:t>
            </w:r>
          </w:p>
          <w:p w14:paraId="6E403BBC">
            <w:pPr>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殖</w:t>
            </w:r>
          </w:p>
          <w:p w14:paraId="2576E047">
            <w:pPr>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区</w:t>
            </w:r>
          </w:p>
        </w:tc>
        <w:tc>
          <w:tcPr>
            <w:tcW w:w="374" w:type="pct"/>
            <w:vMerge w:val="restart"/>
            <w:noWrap w:val="0"/>
            <w:vAlign w:val="center"/>
          </w:tcPr>
          <w:p w14:paraId="4856C876">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1</w:t>
            </w:r>
          </w:p>
        </w:tc>
        <w:tc>
          <w:tcPr>
            <w:tcW w:w="1153" w:type="pct"/>
            <w:vMerge w:val="restart"/>
            <w:noWrap w:val="0"/>
            <w:vAlign w:val="center"/>
          </w:tcPr>
          <w:p w14:paraId="747AE146">
            <w:pPr>
              <w:widowControl/>
              <w:spacing w:line="240" w:lineRule="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农业发展空间</w:t>
            </w:r>
          </w:p>
        </w:tc>
        <w:tc>
          <w:tcPr>
            <w:tcW w:w="687" w:type="pct"/>
            <w:noWrap w:val="0"/>
            <w:vAlign w:val="center"/>
          </w:tcPr>
          <w:p w14:paraId="44D1D5F2">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-1</w:t>
            </w:r>
          </w:p>
        </w:tc>
        <w:tc>
          <w:tcPr>
            <w:tcW w:w="2282" w:type="pct"/>
            <w:noWrap w:val="0"/>
            <w:vAlign w:val="center"/>
          </w:tcPr>
          <w:p w14:paraId="6B8937C9">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池塘养殖区</w:t>
            </w:r>
          </w:p>
        </w:tc>
      </w:tr>
      <w:tr w14:paraId="672233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120B5361">
            <w:pPr>
              <w:widowControl/>
              <w:spacing w:line="240" w:lineRule="auto"/>
              <w:rPr>
                <w:rFonts w:hint="eastAsia" w:ascii="宋体" w:hAnsi="宋体" w:eastAsia="宋体" w:cs="宋体"/>
                <w:color w:val="000000"/>
                <w:sz w:val="24"/>
                <w:szCs w:val="24"/>
              </w:rPr>
            </w:pPr>
          </w:p>
        </w:tc>
        <w:tc>
          <w:tcPr>
            <w:tcW w:w="254" w:type="pct"/>
            <w:vMerge w:val="continue"/>
            <w:noWrap w:val="0"/>
            <w:vAlign w:val="center"/>
          </w:tcPr>
          <w:p w14:paraId="24740344">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426E3E76">
            <w:pPr>
              <w:widowControl/>
              <w:spacing w:line="240" w:lineRule="auto"/>
              <w:rPr>
                <w:rFonts w:hint="eastAsia" w:ascii="宋体" w:hAnsi="宋体" w:eastAsia="宋体" w:cs="宋体"/>
                <w:color w:val="000000"/>
                <w:sz w:val="24"/>
                <w:szCs w:val="24"/>
              </w:rPr>
            </w:pPr>
          </w:p>
        </w:tc>
        <w:tc>
          <w:tcPr>
            <w:tcW w:w="1153" w:type="pct"/>
            <w:vMerge w:val="continue"/>
            <w:noWrap w:val="0"/>
            <w:vAlign w:val="center"/>
          </w:tcPr>
          <w:p w14:paraId="4E0D02CA">
            <w:pPr>
              <w:widowControl/>
              <w:spacing w:line="240" w:lineRule="auto"/>
              <w:rPr>
                <w:rFonts w:hint="eastAsia" w:ascii="宋体" w:hAnsi="宋体" w:eastAsia="宋体" w:cs="宋体"/>
                <w:color w:val="000000"/>
                <w:sz w:val="24"/>
                <w:szCs w:val="24"/>
              </w:rPr>
            </w:pPr>
          </w:p>
        </w:tc>
        <w:tc>
          <w:tcPr>
            <w:tcW w:w="687" w:type="pct"/>
            <w:noWrap w:val="0"/>
            <w:vAlign w:val="center"/>
          </w:tcPr>
          <w:p w14:paraId="05EFE2B2">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-2</w:t>
            </w:r>
          </w:p>
        </w:tc>
        <w:tc>
          <w:tcPr>
            <w:tcW w:w="2282" w:type="pct"/>
            <w:noWrap w:val="0"/>
            <w:vAlign w:val="center"/>
          </w:tcPr>
          <w:p w14:paraId="4D03CD95">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湖泊养殖区</w:t>
            </w:r>
          </w:p>
        </w:tc>
      </w:tr>
      <w:tr w14:paraId="5C9B07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57334764">
            <w:pPr>
              <w:widowControl/>
              <w:spacing w:line="240" w:lineRule="auto"/>
              <w:rPr>
                <w:rFonts w:hint="eastAsia" w:ascii="宋体" w:hAnsi="宋体" w:eastAsia="宋体" w:cs="宋体"/>
                <w:color w:val="000000"/>
                <w:sz w:val="24"/>
                <w:szCs w:val="24"/>
              </w:rPr>
            </w:pPr>
          </w:p>
        </w:tc>
        <w:tc>
          <w:tcPr>
            <w:tcW w:w="254" w:type="pct"/>
            <w:vMerge w:val="continue"/>
            <w:noWrap w:val="0"/>
            <w:vAlign w:val="center"/>
          </w:tcPr>
          <w:p w14:paraId="08881A17">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6C463568">
            <w:pPr>
              <w:widowControl/>
              <w:spacing w:line="240" w:lineRule="auto"/>
              <w:rPr>
                <w:rFonts w:hint="eastAsia" w:ascii="宋体" w:hAnsi="宋体" w:eastAsia="宋体" w:cs="宋体"/>
                <w:color w:val="000000"/>
                <w:sz w:val="24"/>
                <w:szCs w:val="24"/>
              </w:rPr>
            </w:pPr>
          </w:p>
        </w:tc>
        <w:tc>
          <w:tcPr>
            <w:tcW w:w="1153" w:type="pct"/>
            <w:vMerge w:val="continue"/>
            <w:noWrap w:val="0"/>
            <w:vAlign w:val="center"/>
          </w:tcPr>
          <w:p w14:paraId="5ED21100">
            <w:pPr>
              <w:widowControl/>
              <w:spacing w:line="240" w:lineRule="auto"/>
              <w:rPr>
                <w:rFonts w:hint="eastAsia" w:ascii="宋体" w:hAnsi="宋体" w:eastAsia="宋体" w:cs="宋体"/>
                <w:color w:val="000000"/>
                <w:sz w:val="24"/>
                <w:szCs w:val="24"/>
              </w:rPr>
            </w:pPr>
          </w:p>
        </w:tc>
        <w:tc>
          <w:tcPr>
            <w:tcW w:w="687" w:type="pct"/>
            <w:noWrap w:val="0"/>
            <w:vAlign w:val="center"/>
          </w:tcPr>
          <w:p w14:paraId="38C5D835">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-3</w:t>
            </w:r>
          </w:p>
        </w:tc>
        <w:tc>
          <w:tcPr>
            <w:tcW w:w="2282" w:type="pct"/>
            <w:noWrap w:val="0"/>
            <w:vAlign w:val="center"/>
          </w:tcPr>
          <w:p w14:paraId="2673C491">
            <w:pPr>
              <w:widowControl/>
              <w:spacing w:line="240" w:lineRule="auto"/>
              <w:rPr>
                <w:rFonts w:hint="eastAsia" w:ascii="宋体" w:hAnsi="宋体" w:eastAsia="宋体" w:cs="宋体"/>
                <w:color w:val="000000"/>
                <w:sz w:val="24"/>
                <w:szCs w:val="24"/>
              </w:rPr>
            </w:pPr>
            <w:r>
              <w:rPr>
                <w:rFonts w:hint="eastAsia" w:ascii="宋体" w:hAnsi="宋体" w:eastAsia="宋体" w:cs="宋体"/>
                <w:color w:val="000000"/>
                <w:sz w:val="24"/>
                <w:szCs w:val="24"/>
              </w:rPr>
              <w:t>水库养殖区</w:t>
            </w:r>
          </w:p>
        </w:tc>
      </w:tr>
      <w:tr w14:paraId="56E66A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46" w:type="pct"/>
            <w:vMerge w:val="continue"/>
            <w:noWrap w:val="0"/>
            <w:vAlign w:val="center"/>
          </w:tcPr>
          <w:p w14:paraId="36135F67">
            <w:pPr>
              <w:widowControl/>
              <w:spacing w:line="240" w:lineRule="auto"/>
              <w:rPr>
                <w:rFonts w:hint="eastAsia" w:ascii="宋体" w:hAnsi="宋体" w:eastAsia="宋体" w:cs="宋体"/>
                <w:color w:val="000000"/>
                <w:sz w:val="24"/>
                <w:szCs w:val="24"/>
              </w:rPr>
            </w:pPr>
          </w:p>
        </w:tc>
        <w:tc>
          <w:tcPr>
            <w:tcW w:w="254" w:type="pct"/>
            <w:vMerge w:val="continue"/>
            <w:noWrap w:val="0"/>
            <w:vAlign w:val="center"/>
          </w:tcPr>
          <w:p w14:paraId="75235D79">
            <w:pPr>
              <w:widowControl/>
              <w:spacing w:line="240" w:lineRule="auto"/>
              <w:rPr>
                <w:rFonts w:hint="eastAsia" w:ascii="宋体" w:hAnsi="宋体" w:eastAsia="宋体" w:cs="宋体"/>
                <w:color w:val="000000"/>
                <w:sz w:val="24"/>
                <w:szCs w:val="24"/>
              </w:rPr>
            </w:pPr>
          </w:p>
        </w:tc>
        <w:tc>
          <w:tcPr>
            <w:tcW w:w="374" w:type="pct"/>
            <w:vMerge w:val="continue"/>
            <w:noWrap w:val="0"/>
            <w:vAlign w:val="center"/>
          </w:tcPr>
          <w:p w14:paraId="45272A6F">
            <w:pPr>
              <w:widowControl/>
              <w:spacing w:line="240" w:lineRule="auto"/>
              <w:rPr>
                <w:rFonts w:hint="eastAsia" w:ascii="宋体" w:hAnsi="宋体" w:eastAsia="宋体" w:cs="宋体"/>
                <w:color w:val="000000"/>
                <w:sz w:val="24"/>
                <w:szCs w:val="24"/>
              </w:rPr>
            </w:pPr>
          </w:p>
        </w:tc>
        <w:tc>
          <w:tcPr>
            <w:tcW w:w="1153" w:type="pct"/>
            <w:vMerge w:val="continue"/>
            <w:noWrap w:val="0"/>
            <w:vAlign w:val="center"/>
          </w:tcPr>
          <w:p w14:paraId="5A425F5E">
            <w:pPr>
              <w:widowControl/>
              <w:spacing w:line="240" w:lineRule="auto"/>
              <w:rPr>
                <w:rFonts w:hint="eastAsia" w:ascii="宋体" w:hAnsi="宋体" w:eastAsia="宋体" w:cs="宋体"/>
                <w:color w:val="000000"/>
                <w:sz w:val="24"/>
                <w:szCs w:val="24"/>
              </w:rPr>
            </w:pPr>
          </w:p>
        </w:tc>
        <w:tc>
          <w:tcPr>
            <w:tcW w:w="687" w:type="pct"/>
            <w:noWrap w:val="0"/>
            <w:vAlign w:val="center"/>
          </w:tcPr>
          <w:p w14:paraId="1B79D402">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-4</w:t>
            </w:r>
          </w:p>
        </w:tc>
        <w:tc>
          <w:tcPr>
            <w:tcW w:w="2282" w:type="pct"/>
            <w:noWrap w:val="0"/>
            <w:vAlign w:val="center"/>
          </w:tcPr>
          <w:p w14:paraId="55FC2A23">
            <w:pPr>
              <w:widowControl/>
              <w:spacing w:line="24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其他</w:t>
            </w:r>
            <w:r>
              <w:rPr>
                <w:rFonts w:hint="eastAsia" w:ascii="宋体" w:hAnsi="宋体" w:eastAsia="宋体" w:cs="宋体"/>
                <w:color w:val="000000"/>
                <w:sz w:val="24"/>
                <w:szCs w:val="24"/>
              </w:rPr>
              <w:t>养殖区</w:t>
            </w:r>
          </w:p>
        </w:tc>
      </w:tr>
      <w:tr w14:paraId="4BAF46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93" w:hRule="atLeast"/>
          <w:jc w:val="center"/>
        </w:trPr>
        <w:tc>
          <w:tcPr>
            <w:tcW w:w="246" w:type="pct"/>
            <w:vMerge w:val="continue"/>
            <w:noWrap w:val="0"/>
            <w:vAlign w:val="center"/>
          </w:tcPr>
          <w:p w14:paraId="331A0728">
            <w:pPr>
              <w:widowControl/>
              <w:spacing w:line="240" w:lineRule="auto"/>
              <w:rPr>
                <w:rFonts w:hint="eastAsia" w:ascii="宋体" w:hAnsi="宋体" w:eastAsia="宋体" w:cs="宋体"/>
                <w:color w:val="000000"/>
                <w:sz w:val="24"/>
                <w:szCs w:val="24"/>
              </w:rPr>
            </w:pPr>
          </w:p>
        </w:tc>
        <w:tc>
          <w:tcPr>
            <w:tcW w:w="254" w:type="pct"/>
            <w:vMerge w:val="continue"/>
            <w:noWrap w:val="0"/>
            <w:vAlign w:val="center"/>
          </w:tcPr>
          <w:p w14:paraId="5F6586F0">
            <w:pPr>
              <w:widowControl/>
              <w:spacing w:line="240" w:lineRule="auto"/>
              <w:rPr>
                <w:rFonts w:hint="eastAsia" w:ascii="宋体" w:hAnsi="宋体" w:eastAsia="宋体" w:cs="宋体"/>
                <w:color w:val="000000"/>
                <w:sz w:val="24"/>
                <w:szCs w:val="24"/>
              </w:rPr>
            </w:pPr>
          </w:p>
        </w:tc>
        <w:tc>
          <w:tcPr>
            <w:tcW w:w="374" w:type="pct"/>
            <w:noWrap w:val="0"/>
            <w:vAlign w:val="center"/>
          </w:tcPr>
          <w:p w14:paraId="4AB533C4">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w:t>
            </w:r>
          </w:p>
        </w:tc>
        <w:tc>
          <w:tcPr>
            <w:tcW w:w="1153" w:type="pct"/>
            <w:noWrap w:val="0"/>
            <w:vAlign w:val="center"/>
          </w:tcPr>
          <w:p w14:paraId="614DC4A3">
            <w:pPr>
              <w:widowControl/>
              <w:spacing w:line="240" w:lineRule="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生态保护红线非核心保护区域</w:t>
            </w:r>
          </w:p>
        </w:tc>
        <w:tc>
          <w:tcPr>
            <w:tcW w:w="687" w:type="pct"/>
            <w:noWrap w:val="0"/>
            <w:vAlign w:val="center"/>
          </w:tcPr>
          <w:p w14:paraId="0667058C">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3-2-1</w:t>
            </w:r>
          </w:p>
        </w:tc>
        <w:tc>
          <w:tcPr>
            <w:tcW w:w="2282" w:type="pct"/>
            <w:noWrap w:val="0"/>
            <w:vAlign w:val="center"/>
          </w:tcPr>
          <w:p w14:paraId="3FF9CD73">
            <w:pPr>
              <w:widowControl/>
              <w:spacing w:line="240" w:lineRule="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历史上有原住居民或其他合法权益主体从事水产养殖活动的区域</w:t>
            </w:r>
          </w:p>
        </w:tc>
      </w:tr>
    </w:tbl>
    <w:p w14:paraId="09F38262">
      <w:pPr>
        <w:pStyle w:val="3"/>
        <w:numPr>
          <w:ilvl w:val="0"/>
          <w:numId w:val="0"/>
        </w:numPr>
        <w:ind w:leftChars="200"/>
        <w:jc w:val="both"/>
        <w:rPr>
          <w:b w:val="0"/>
          <w:highlight w:val="yellow"/>
        </w:rPr>
      </w:pPr>
      <w:bookmarkStart w:id="236" w:name="_Toc30102"/>
      <w:bookmarkStart w:id="237" w:name="_Toc8259"/>
      <w:bookmarkStart w:id="238" w:name="_Toc27750"/>
      <w:bookmarkStart w:id="239" w:name="_Toc2794"/>
      <w:bookmarkStart w:id="240" w:name="_Toc8145"/>
      <w:bookmarkStart w:id="241" w:name="_Toc2716"/>
      <w:bookmarkStart w:id="242" w:name="_Toc1538"/>
      <w:bookmarkStart w:id="243" w:name="_Toc23108"/>
      <w:bookmarkStart w:id="244" w:name="_Toc1856"/>
      <w:r>
        <w:rPr>
          <w:rFonts w:hint="eastAsia"/>
          <w:highlight w:val="none"/>
          <w:lang w:val="en-US" w:eastAsia="zh-CN"/>
        </w:rPr>
        <w:t xml:space="preserve">3.2 </w:t>
      </w:r>
      <w:r>
        <w:rPr>
          <w:highlight w:val="none"/>
        </w:rPr>
        <w:t>规划方案</w:t>
      </w:r>
      <w:bookmarkEnd w:id="236"/>
      <w:bookmarkEnd w:id="237"/>
      <w:bookmarkEnd w:id="238"/>
      <w:bookmarkEnd w:id="239"/>
      <w:bookmarkEnd w:id="240"/>
      <w:bookmarkEnd w:id="241"/>
      <w:bookmarkEnd w:id="242"/>
      <w:bookmarkEnd w:id="243"/>
      <w:bookmarkEnd w:id="244"/>
    </w:p>
    <w:p w14:paraId="0DA49DEA">
      <w:pPr>
        <w:pStyle w:val="11"/>
        <w:ind w:leftChars="0" w:firstLine="560" w:firstLineChars="200"/>
        <w:jc w:val="both"/>
        <w:rPr>
          <w:rFonts w:hint="eastAsia" w:cs="Times New Roman"/>
          <w:color w:val="auto"/>
          <w:sz w:val="28"/>
          <w:szCs w:val="28"/>
          <w:lang w:eastAsia="zh-CN"/>
        </w:rPr>
      </w:pPr>
      <w:r>
        <w:rPr>
          <w:rFonts w:ascii="Times New Roman" w:hAnsi="Times New Roman" w:eastAsia="宋体" w:cs="Times New Roman"/>
          <w:color w:val="auto"/>
          <w:sz w:val="28"/>
          <w:szCs w:val="28"/>
        </w:rPr>
        <w:t>对原《规划》中涉及的耕地及永久基本农田保护红线、生态保护红线、饮用水源地保护区、城镇开发边界及农业空间等区域内的水域滩涂进行功能区划调整，以确保《规划》与法律法规及地方管理要求一致，本次修订根据各成员单位提供最新数据，具体方案如下</w:t>
      </w:r>
      <w:r>
        <w:rPr>
          <w:rFonts w:hint="eastAsia" w:cs="Times New Roman"/>
          <w:color w:val="auto"/>
          <w:sz w:val="28"/>
          <w:szCs w:val="28"/>
          <w:lang w:eastAsia="zh-CN"/>
        </w:rPr>
        <w:t>：</w:t>
      </w:r>
    </w:p>
    <w:p w14:paraId="5059221D">
      <w:pPr>
        <w:pStyle w:val="11"/>
        <w:ind w:leftChars="0" w:firstLine="560" w:firstLineChars="200"/>
        <w:jc w:val="both"/>
        <w:rPr>
          <w:rFonts w:hint="default" w:cs="Times New Roman"/>
          <w:color w:val="auto"/>
          <w:sz w:val="28"/>
          <w:szCs w:val="28"/>
          <w:lang w:val="en-US" w:eastAsia="zh-CN"/>
        </w:rPr>
      </w:pPr>
      <w:r>
        <w:rPr>
          <w:rFonts w:hint="eastAsia" w:cs="Times New Roman"/>
          <w:color w:val="auto"/>
          <w:sz w:val="28"/>
          <w:szCs w:val="28"/>
          <w:lang w:val="en-US" w:eastAsia="zh-CN"/>
        </w:rPr>
        <w:t>友好区水域滩涂规划划定禁养区面积127.2835公顷，其中生态保护红线（自然保护地核心保护区）内划定禁养区面积52.9831公顷、其他生态极敏感区及极脆弱区内划定禁养区面积7.2119公顷、饮用水水源地一级保护区内划定禁养区面积60.2790公顷、耕地及永久基本农田保护红线内划定禁养区2.1043公顷、城镇开发边界内划定禁养区面积4.7052公顷；限养区面积767.2678公顷，其中饮用水水源地二级保护区内划定限养区面积212.8193公顷、生态保护红线（自然保护地核心保护区外）划定限养区面积554.4485公顷；养殖区划定面积463.5446公顷，其中池塘养殖区面积328.1626公顷、水库养殖区面积14.5460公顷、其他养殖区面积120.8360公顷。</w:t>
      </w:r>
    </w:p>
    <w:p w14:paraId="17C737C7">
      <w:pPr>
        <w:pStyle w:val="35"/>
        <w:keepNext w:val="0"/>
        <w:keepLines w:val="0"/>
        <w:pageBreakBefore w:val="0"/>
        <w:widowControl w:val="0"/>
        <w:kinsoku/>
        <w:wordWrap/>
        <w:overflowPunct/>
        <w:topLinePunct w:val="0"/>
        <w:autoSpaceDE/>
        <w:autoSpaceDN/>
        <w:bidi w:val="0"/>
        <w:adjustRightInd w:val="0"/>
        <w:snapToGrid/>
        <w:spacing w:after="200"/>
        <w:jc w:val="center"/>
        <w:textAlignment w:val="auto"/>
        <w:rPr>
          <w:rFonts w:hint="eastAsia" w:ascii="黑体" w:hAnsi="黑体" w:eastAsia="黑体" w:cs="黑体"/>
        </w:rPr>
      </w:pPr>
      <w:r>
        <w:rPr>
          <w:rFonts w:hint="eastAsia" w:ascii="黑体" w:hAnsi="黑体" w:eastAsia="黑体" w:cs="黑体"/>
        </w:rPr>
        <w:t xml:space="preserve">表3-2 </w:t>
      </w:r>
      <w:r>
        <w:rPr>
          <w:rFonts w:hint="eastAsia" w:ascii="黑体" w:hAnsi="黑体" w:eastAsia="黑体" w:cs="黑体"/>
          <w:lang w:eastAsia="zh-CN"/>
        </w:rPr>
        <w:t>友好区</w:t>
      </w:r>
      <w:r>
        <w:rPr>
          <w:rFonts w:hint="eastAsia" w:ascii="黑体" w:hAnsi="黑体" w:eastAsia="黑体" w:cs="黑体"/>
        </w:rPr>
        <w:t>养殖水域滩涂总体功能区划一览表</w:t>
      </w:r>
    </w:p>
    <w:tbl>
      <w:tblPr>
        <w:tblStyle w:val="21"/>
        <w:tblW w:w="933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884"/>
        <w:gridCol w:w="5880"/>
        <w:gridCol w:w="1740"/>
      </w:tblGrid>
      <w:tr w14:paraId="4EB6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2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9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4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类型名称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3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水域滩涂规划面积（公顷）</w:t>
            </w:r>
          </w:p>
        </w:tc>
      </w:tr>
      <w:tr w14:paraId="3FE9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465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D6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禁养区</w:t>
            </w:r>
          </w:p>
        </w:tc>
        <w:tc>
          <w:tcPr>
            <w:tcW w:w="5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90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生态保护红线（自然保护地核心保护区）禁养区（1-1-1）</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C47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52.9831</w:t>
            </w:r>
          </w:p>
        </w:tc>
      </w:tr>
      <w:tr w14:paraId="7E5D7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7DD86">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B5A30">
            <w:pPr>
              <w:jc w:val="center"/>
              <w:rPr>
                <w:rFonts w:hint="eastAsia" w:ascii="宋体" w:hAnsi="宋体" w:eastAsia="宋体" w:cs="宋体"/>
                <w:i w:val="0"/>
                <w:iCs w:val="0"/>
                <w:color w:val="000000"/>
                <w:sz w:val="22"/>
                <w:szCs w:val="22"/>
                <w:u w:val="none"/>
              </w:rPr>
            </w:pPr>
          </w:p>
        </w:tc>
        <w:tc>
          <w:tcPr>
            <w:tcW w:w="5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CCE74">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86D7A">
            <w:pPr>
              <w:jc w:val="center"/>
              <w:rPr>
                <w:rFonts w:hint="default" w:ascii="Times New Roman" w:hAnsi="Times New Roman" w:eastAsia="宋体" w:cs="Times New Roman"/>
                <w:i w:val="0"/>
                <w:iCs w:val="0"/>
                <w:color w:val="000000"/>
                <w:sz w:val="22"/>
                <w:szCs w:val="22"/>
                <w:u w:val="none"/>
              </w:rPr>
            </w:pPr>
          </w:p>
        </w:tc>
      </w:tr>
      <w:tr w14:paraId="57D35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AE68D">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E07E4">
            <w:pPr>
              <w:jc w:val="center"/>
              <w:rPr>
                <w:rFonts w:hint="eastAsia" w:ascii="宋体" w:hAnsi="宋体" w:eastAsia="宋体" w:cs="宋体"/>
                <w:i w:val="0"/>
                <w:iCs w:val="0"/>
                <w:color w:val="000000"/>
                <w:sz w:val="22"/>
                <w:szCs w:val="22"/>
                <w:u w:val="none"/>
              </w:rPr>
            </w:pPr>
          </w:p>
        </w:tc>
        <w:tc>
          <w:tcPr>
            <w:tcW w:w="5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F1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其他生态极敏感区及极脆弱区禁养区（1-1-7）</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420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cs="Times New Roman"/>
                <w:i w:val="0"/>
                <w:iCs w:val="0"/>
                <w:color w:val="000000"/>
                <w:sz w:val="22"/>
                <w:szCs w:val="22"/>
                <w:u w:val="none"/>
                <w:lang w:val="en-US" w:eastAsia="zh-CN"/>
              </w:rPr>
              <w:t>7.2119</w:t>
            </w:r>
          </w:p>
        </w:tc>
      </w:tr>
      <w:tr w14:paraId="471B8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747A6">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61BE5">
            <w:pPr>
              <w:jc w:val="center"/>
              <w:rPr>
                <w:rFonts w:hint="eastAsia" w:ascii="宋体" w:hAnsi="宋体" w:eastAsia="宋体" w:cs="宋体"/>
                <w:i w:val="0"/>
                <w:iCs w:val="0"/>
                <w:color w:val="000000"/>
                <w:sz w:val="22"/>
                <w:szCs w:val="22"/>
                <w:u w:val="none"/>
              </w:rPr>
            </w:pPr>
          </w:p>
        </w:tc>
        <w:tc>
          <w:tcPr>
            <w:tcW w:w="5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C30A2">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37B1E">
            <w:pPr>
              <w:jc w:val="center"/>
              <w:rPr>
                <w:rFonts w:hint="default" w:ascii="Times New Roman" w:hAnsi="Times New Roman" w:eastAsia="宋体" w:cs="Times New Roman"/>
                <w:i w:val="0"/>
                <w:iCs w:val="0"/>
                <w:color w:val="000000"/>
                <w:sz w:val="22"/>
                <w:szCs w:val="22"/>
                <w:u w:val="none"/>
              </w:rPr>
            </w:pPr>
          </w:p>
        </w:tc>
      </w:tr>
      <w:tr w14:paraId="05E3E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015DB">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B60EF">
            <w:pPr>
              <w:jc w:val="center"/>
              <w:rPr>
                <w:rFonts w:hint="eastAsia" w:ascii="宋体" w:hAnsi="宋体" w:eastAsia="宋体" w:cs="宋体"/>
                <w:i w:val="0"/>
                <w:iCs w:val="0"/>
                <w:color w:val="000000"/>
                <w:sz w:val="22"/>
                <w:szCs w:val="22"/>
                <w:u w:val="none"/>
              </w:rPr>
            </w:pPr>
          </w:p>
        </w:tc>
        <w:tc>
          <w:tcPr>
            <w:tcW w:w="5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BA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饮用水水源地一级保护区禁养区（1-2）</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287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60.2790</w:t>
            </w:r>
          </w:p>
        </w:tc>
      </w:tr>
      <w:tr w14:paraId="01FA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A5162">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8F88">
            <w:pPr>
              <w:jc w:val="center"/>
              <w:rPr>
                <w:rFonts w:hint="eastAsia" w:ascii="宋体" w:hAnsi="宋体" w:eastAsia="宋体" w:cs="宋体"/>
                <w:i w:val="0"/>
                <w:iCs w:val="0"/>
                <w:color w:val="000000"/>
                <w:sz w:val="22"/>
                <w:szCs w:val="22"/>
                <w:u w:val="none"/>
              </w:rPr>
            </w:pPr>
          </w:p>
        </w:tc>
        <w:tc>
          <w:tcPr>
            <w:tcW w:w="5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9C109">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3994F">
            <w:pPr>
              <w:jc w:val="center"/>
              <w:rPr>
                <w:rFonts w:hint="default" w:ascii="Times New Roman" w:hAnsi="Times New Roman" w:eastAsia="宋体" w:cs="Times New Roman"/>
                <w:i w:val="0"/>
                <w:iCs w:val="0"/>
                <w:color w:val="000000"/>
                <w:sz w:val="22"/>
                <w:szCs w:val="22"/>
                <w:u w:val="none"/>
              </w:rPr>
            </w:pPr>
          </w:p>
        </w:tc>
      </w:tr>
      <w:tr w14:paraId="70E93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CAD75">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2F7DE">
            <w:pPr>
              <w:jc w:val="center"/>
              <w:rPr>
                <w:rFonts w:hint="eastAsia" w:ascii="宋体" w:hAnsi="宋体" w:eastAsia="宋体" w:cs="宋体"/>
                <w:i w:val="0"/>
                <w:iCs w:val="0"/>
                <w:color w:val="000000"/>
                <w:sz w:val="22"/>
                <w:szCs w:val="22"/>
                <w:u w:val="none"/>
              </w:rPr>
            </w:pPr>
          </w:p>
        </w:tc>
        <w:tc>
          <w:tcPr>
            <w:tcW w:w="5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F5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耕地及永久基本农田保护红线禁养区（1-4）</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FF7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cs="Times New Roman"/>
                <w:i w:val="0"/>
                <w:iCs w:val="0"/>
                <w:color w:val="000000"/>
                <w:sz w:val="22"/>
                <w:szCs w:val="22"/>
                <w:u w:val="none"/>
                <w:lang w:val="en-US" w:eastAsia="zh-CN"/>
              </w:rPr>
              <w:t>2.1043</w:t>
            </w:r>
          </w:p>
        </w:tc>
      </w:tr>
      <w:tr w14:paraId="60CE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C222A">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0E582">
            <w:pPr>
              <w:jc w:val="center"/>
              <w:rPr>
                <w:rFonts w:hint="eastAsia" w:ascii="宋体" w:hAnsi="宋体" w:eastAsia="宋体" w:cs="宋体"/>
                <w:i w:val="0"/>
                <w:iCs w:val="0"/>
                <w:color w:val="000000"/>
                <w:sz w:val="22"/>
                <w:szCs w:val="22"/>
                <w:u w:val="none"/>
              </w:rPr>
            </w:pPr>
          </w:p>
        </w:tc>
        <w:tc>
          <w:tcPr>
            <w:tcW w:w="5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AA601">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640D">
            <w:pPr>
              <w:jc w:val="center"/>
              <w:rPr>
                <w:rFonts w:hint="default" w:ascii="Times New Roman" w:hAnsi="Times New Roman" w:eastAsia="宋体" w:cs="Times New Roman"/>
                <w:i w:val="0"/>
                <w:iCs w:val="0"/>
                <w:color w:val="000000"/>
                <w:sz w:val="22"/>
                <w:szCs w:val="22"/>
                <w:u w:val="none"/>
              </w:rPr>
            </w:pPr>
          </w:p>
        </w:tc>
      </w:tr>
      <w:tr w14:paraId="22F64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9A06B">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6F913">
            <w:pPr>
              <w:jc w:val="center"/>
              <w:rPr>
                <w:rFonts w:hint="eastAsia" w:ascii="宋体" w:hAnsi="宋体" w:eastAsia="宋体" w:cs="宋体"/>
                <w:i w:val="0"/>
                <w:iCs w:val="0"/>
                <w:color w:val="000000"/>
                <w:sz w:val="22"/>
                <w:szCs w:val="22"/>
                <w:u w:val="none"/>
              </w:rPr>
            </w:pPr>
          </w:p>
        </w:tc>
        <w:tc>
          <w:tcPr>
            <w:tcW w:w="5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A1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城镇开发边界禁养区（1-3）</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6CE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4.7052</w:t>
            </w:r>
          </w:p>
        </w:tc>
      </w:tr>
      <w:tr w14:paraId="74D6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C3011">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B029E">
            <w:pPr>
              <w:jc w:val="center"/>
              <w:rPr>
                <w:rFonts w:hint="eastAsia" w:ascii="宋体" w:hAnsi="宋体" w:eastAsia="宋体" w:cs="宋体"/>
                <w:i w:val="0"/>
                <w:iCs w:val="0"/>
                <w:color w:val="000000"/>
                <w:sz w:val="22"/>
                <w:szCs w:val="22"/>
                <w:u w:val="none"/>
              </w:rPr>
            </w:pPr>
          </w:p>
        </w:tc>
        <w:tc>
          <w:tcPr>
            <w:tcW w:w="5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1C6BC">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E99F3">
            <w:pPr>
              <w:jc w:val="center"/>
              <w:rPr>
                <w:rFonts w:hint="default" w:ascii="Times New Roman" w:hAnsi="Times New Roman" w:eastAsia="宋体" w:cs="Times New Roman"/>
                <w:i w:val="0"/>
                <w:iCs w:val="0"/>
                <w:color w:val="000000"/>
                <w:sz w:val="22"/>
                <w:szCs w:val="22"/>
                <w:u w:val="none"/>
              </w:rPr>
            </w:pPr>
          </w:p>
        </w:tc>
      </w:tr>
      <w:tr w14:paraId="21B9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8C514">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0B2FD">
            <w:pPr>
              <w:jc w:val="center"/>
              <w:rPr>
                <w:rFonts w:hint="eastAsia" w:ascii="宋体" w:hAnsi="宋体" w:eastAsia="宋体" w:cs="宋体"/>
                <w:i w:val="0"/>
                <w:iCs w:val="0"/>
                <w:color w:val="000000"/>
                <w:sz w:val="22"/>
                <w:szCs w:val="22"/>
                <w:u w:val="none"/>
              </w:rPr>
            </w:pP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6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C3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127.2835</w:t>
            </w:r>
          </w:p>
        </w:tc>
      </w:tr>
      <w:tr w14:paraId="79DD4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13400">
            <w:pPr>
              <w:jc w:val="center"/>
              <w:rPr>
                <w:rFonts w:hint="eastAsia" w:ascii="宋体" w:hAnsi="宋体" w:eastAsia="宋体" w:cs="宋体"/>
                <w:i w:val="0"/>
                <w:iCs w:val="0"/>
                <w:color w:val="000000"/>
                <w:sz w:val="22"/>
                <w:szCs w:val="22"/>
                <w:u w:val="none"/>
              </w:rPr>
            </w:pPr>
          </w:p>
        </w:tc>
      </w:tr>
      <w:tr w14:paraId="2EF68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731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7A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限养区</w:t>
            </w: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B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饮用水水源地二级保护区限养区（2-2）</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9C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212.8193</w:t>
            </w:r>
          </w:p>
        </w:tc>
      </w:tr>
      <w:tr w14:paraId="6FFD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56FAB">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1F7D1">
            <w:pPr>
              <w:jc w:val="center"/>
              <w:rPr>
                <w:rFonts w:hint="eastAsia" w:ascii="宋体" w:hAnsi="宋体" w:eastAsia="宋体" w:cs="宋体"/>
                <w:i w:val="0"/>
                <w:iCs w:val="0"/>
                <w:color w:val="000000"/>
                <w:sz w:val="22"/>
                <w:szCs w:val="22"/>
                <w:u w:val="none"/>
              </w:rPr>
            </w:pP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生态保护红线（自然保护地核心保护区外）限养区（2-1）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CA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554.4485</w:t>
            </w:r>
          </w:p>
        </w:tc>
      </w:tr>
      <w:tr w14:paraId="31176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DCFE4">
            <w:pPr>
              <w:jc w:val="center"/>
              <w:rPr>
                <w:rFonts w:hint="default" w:ascii="Times New Roman" w:hAnsi="Times New Roman" w:eastAsia="宋体" w:cs="Times New Roman"/>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25F4B">
            <w:pPr>
              <w:jc w:val="center"/>
              <w:rPr>
                <w:rFonts w:hint="eastAsia" w:ascii="宋体" w:hAnsi="宋体" w:eastAsia="宋体" w:cs="宋体"/>
                <w:i w:val="0"/>
                <w:iCs w:val="0"/>
                <w:color w:val="000000"/>
                <w:sz w:val="22"/>
                <w:szCs w:val="22"/>
                <w:u w:val="none"/>
              </w:rPr>
            </w:pP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0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9D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767.2678</w:t>
            </w:r>
          </w:p>
        </w:tc>
      </w:tr>
      <w:tr w14:paraId="001B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CAB7">
            <w:pPr>
              <w:jc w:val="center"/>
              <w:rPr>
                <w:rFonts w:hint="eastAsia" w:ascii="宋体" w:hAnsi="宋体" w:eastAsia="宋体" w:cs="宋体"/>
                <w:i w:val="0"/>
                <w:iCs w:val="0"/>
                <w:color w:val="000000"/>
                <w:sz w:val="24"/>
                <w:szCs w:val="24"/>
                <w:u w:val="none"/>
              </w:rPr>
            </w:pPr>
          </w:p>
        </w:tc>
      </w:tr>
      <w:tr w14:paraId="68E7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B06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7A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养殖区</w:t>
            </w: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6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池塘养殖区（3-1-1）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90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val="en-US" w:eastAsia="zh-CN"/>
              </w:rPr>
              <w:t>328.1626</w:t>
            </w:r>
          </w:p>
        </w:tc>
      </w:tr>
      <w:tr w14:paraId="2AA6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B1FAB">
            <w:pPr>
              <w:jc w:val="center"/>
              <w:rPr>
                <w:rFonts w:hint="default" w:ascii="Times New Roman" w:hAnsi="Times New Roman" w:eastAsia="宋体" w:cs="Times New Roman"/>
                <w:i w:val="0"/>
                <w:iCs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47F7F">
            <w:pPr>
              <w:jc w:val="center"/>
              <w:rPr>
                <w:rFonts w:hint="eastAsia" w:ascii="宋体" w:hAnsi="宋体" w:eastAsia="宋体" w:cs="宋体"/>
                <w:i w:val="0"/>
                <w:iCs w:val="0"/>
                <w:color w:val="000000"/>
                <w:sz w:val="20"/>
                <w:szCs w:val="20"/>
                <w:u w:val="none"/>
              </w:rPr>
            </w:pP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4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水库养殖区（3-1-3）</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71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14.5460</w:t>
            </w:r>
          </w:p>
        </w:tc>
      </w:tr>
      <w:tr w14:paraId="7B763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60345">
            <w:pPr>
              <w:jc w:val="center"/>
              <w:rPr>
                <w:rFonts w:hint="default" w:ascii="Times New Roman" w:hAnsi="Times New Roman" w:eastAsia="宋体" w:cs="Times New Roman"/>
                <w:i w:val="0"/>
                <w:iCs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9B15C">
            <w:pPr>
              <w:jc w:val="center"/>
              <w:rPr>
                <w:rFonts w:hint="eastAsia" w:ascii="宋体" w:hAnsi="宋体" w:eastAsia="宋体" w:cs="宋体"/>
                <w:i w:val="0"/>
                <w:iCs w:val="0"/>
                <w:color w:val="000000"/>
                <w:sz w:val="20"/>
                <w:szCs w:val="20"/>
                <w:u w:val="none"/>
              </w:rPr>
            </w:pP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A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w:t>
            </w:r>
            <w:r>
              <w:rPr>
                <w:rFonts w:hint="eastAsia" w:ascii="宋体" w:hAnsi="宋体" w:cs="宋体"/>
                <w:i w:val="0"/>
                <w:iCs w:val="0"/>
                <w:color w:val="000000"/>
                <w:kern w:val="0"/>
                <w:sz w:val="20"/>
                <w:szCs w:val="20"/>
                <w:u w:val="none"/>
                <w:lang w:val="en-US" w:eastAsia="zh-CN" w:bidi="ar"/>
              </w:rPr>
              <w:t>他</w:t>
            </w:r>
            <w:r>
              <w:rPr>
                <w:rFonts w:hint="eastAsia" w:ascii="宋体" w:hAnsi="宋体" w:eastAsia="宋体" w:cs="宋体"/>
                <w:i w:val="0"/>
                <w:iCs w:val="0"/>
                <w:color w:val="000000"/>
                <w:kern w:val="0"/>
                <w:sz w:val="20"/>
                <w:szCs w:val="20"/>
                <w:u w:val="none"/>
                <w:lang w:val="en-US" w:eastAsia="zh-CN" w:bidi="ar"/>
              </w:rPr>
              <w:t>养殖区（3-1-4）</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DC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120.8360</w:t>
            </w:r>
          </w:p>
        </w:tc>
      </w:tr>
      <w:tr w14:paraId="643F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82463">
            <w:pPr>
              <w:jc w:val="center"/>
              <w:rPr>
                <w:rFonts w:hint="default" w:ascii="Times New Roman" w:hAnsi="Times New Roman" w:eastAsia="宋体" w:cs="Times New Roman"/>
                <w:i w:val="0"/>
                <w:iCs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8E993">
            <w:pPr>
              <w:jc w:val="center"/>
              <w:rPr>
                <w:rFonts w:hint="eastAsia" w:ascii="宋体" w:hAnsi="宋体" w:eastAsia="宋体" w:cs="宋体"/>
                <w:i w:val="0"/>
                <w:iCs w:val="0"/>
                <w:color w:val="000000"/>
                <w:sz w:val="20"/>
                <w:szCs w:val="20"/>
                <w:u w:val="none"/>
              </w:rPr>
            </w:pPr>
          </w:p>
        </w:tc>
        <w:tc>
          <w:tcPr>
            <w:tcW w:w="5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3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0B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463.5446</w:t>
            </w:r>
          </w:p>
        </w:tc>
      </w:tr>
    </w:tbl>
    <w:p w14:paraId="200C6779">
      <w:pPr>
        <w:pStyle w:val="35"/>
        <w:keepNext w:val="0"/>
        <w:keepLines w:val="0"/>
        <w:pageBreakBefore w:val="0"/>
        <w:widowControl w:val="0"/>
        <w:kinsoku/>
        <w:wordWrap/>
        <w:overflowPunct/>
        <w:topLinePunct w:val="0"/>
        <w:autoSpaceDE/>
        <w:autoSpaceDN/>
        <w:bidi w:val="0"/>
        <w:adjustRightInd w:val="0"/>
        <w:snapToGrid/>
        <w:spacing w:after="200"/>
        <w:jc w:val="both"/>
        <w:textAlignment w:val="auto"/>
        <w:rPr>
          <w:rFonts w:hint="default" w:cs="Times New Roman"/>
          <w:color w:val="auto"/>
          <w:kern w:val="2"/>
          <w:sz w:val="28"/>
          <w:szCs w:val="28"/>
          <w:lang w:val="en-US" w:eastAsia="zh-CN" w:bidi="ar-SA"/>
        </w:rPr>
      </w:pPr>
      <w:bookmarkStart w:id="245" w:name="_Toc23589"/>
      <w:bookmarkStart w:id="246" w:name="_Toc22215"/>
      <w:r>
        <w:rPr>
          <w:rFonts w:hint="eastAsia"/>
          <w:lang w:val="en-US" w:eastAsia="zh-CN"/>
        </w:rPr>
        <w:t xml:space="preserve"> </w:t>
      </w:r>
      <w:r>
        <w:rPr>
          <w:rFonts w:hint="eastAsia" w:ascii="Times New Roman" w:hAnsi="Times New Roman" w:eastAsia="宋体" w:cs="Times New Roman"/>
          <w:color w:val="auto"/>
          <w:kern w:val="2"/>
          <w:sz w:val="28"/>
          <w:szCs w:val="28"/>
          <w:lang w:val="en-US" w:eastAsia="zh-CN" w:bidi="ar-SA"/>
        </w:rPr>
        <w:t xml:space="preserve">  </w:t>
      </w:r>
      <w:r>
        <w:rPr>
          <w:rFonts w:hint="eastAsia" w:cs="Times New Roman"/>
          <w:color w:val="auto"/>
          <w:kern w:val="2"/>
          <w:sz w:val="28"/>
          <w:szCs w:val="28"/>
          <w:lang w:val="en-US" w:eastAsia="zh-CN" w:bidi="ar-SA"/>
        </w:rPr>
        <w:t>按照乡镇统计，上甘岭镇划定禁养区面积48.3890公顷、限养区面积87.8391公顷、养殖区面积118.3666公顷；双子河街道划定禁养区面积2.5312公顷、限养区面积5.0023公顷、养殖区面积2.8203公顷；铁林街道划定禁养区面积0.6844公顷、限养区面积6.4140公顷、养殖区面积0公顷；友好街道划定禁养区面积75.6789公顷、限养区面积668.0124公顷、养殖区面积342.3577公顷。</w:t>
      </w:r>
    </w:p>
    <w:p w14:paraId="2C2BD672">
      <w:pPr>
        <w:pStyle w:val="35"/>
        <w:keepNext w:val="0"/>
        <w:keepLines w:val="0"/>
        <w:pageBreakBefore w:val="0"/>
        <w:widowControl w:val="0"/>
        <w:kinsoku/>
        <w:wordWrap/>
        <w:overflowPunct/>
        <w:topLinePunct w:val="0"/>
        <w:autoSpaceDE/>
        <w:autoSpaceDN/>
        <w:bidi w:val="0"/>
        <w:adjustRightInd w:val="0"/>
        <w:snapToGrid/>
        <w:spacing w:after="200"/>
        <w:jc w:val="center"/>
        <w:textAlignment w:val="auto"/>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3</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lang w:val="en-US" w:eastAsia="zh-CN"/>
        </w:rPr>
        <w:t>各乡镇</w:t>
      </w:r>
      <w:r>
        <w:rPr>
          <w:rFonts w:hint="eastAsia" w:ascii="黑体" w:hAnsi="黑体" w:eastAsia="黑体" w:cs="黑体"/>
        </w:rPr>
        <w:t>养殖水域滩涂</w:t>
      </w:r>
      <w:r>
        <w:rPr>
          <w:rFonts w:hint="eastAsia" w:ascii="黑体" w:hAnsi="黑体" w:eastAsia="黑体" w:cs="黑体"/>
          <w:lang w:val="en-US" w:eastAsia="zh-CN"/>
        </w:rPr>
        <w:t>规划</w:t>
      </w:r>
      <w:r>
        <w:rPr>
          <w:rFonts w:hint="eastAsia" w:ascii="黑体" w:hAnsi="黑体" w:eastAsia="黑体" w:cs="黑体"/>
        </w:rPr>
        <w:t>一览表</w:t>
      </w:r>
    </w:p>
    <w:tbl>
      <w:tblPr>
        <w:tblStyle w:val="21"/>
        <w:tblW w:w="90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8"/>
        <w:gridCol w:w="1992"/>
        <w:gridCol w:w="1992"/>
        <w:gridCol w:w="1542"/>
        <w:gridCol w:w="1542"/>
      </w:tblGrid>
      <w:tr w14:paraId="09A95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7D9F">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行政区名称</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B223">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禁养区面积</w:t>
            </w:r>
          </w:p>
          <w:p w14:paraId="499DA689">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E6E7">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限养区面积</w:t>
            </w:r>
          </w:p>
          <w:p w14:paraId="1B9A43C0">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CE2D">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养殖区面积</w:t>
            </w:r>
          </w:p>
          <w:p w14:paraId="1D0EEC1E">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6232">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p w14:paraId="4CBFE45A">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r>
      <w:tr w14:paraId="1397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71AA">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上甘岭镇</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B0B6">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48.3890</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4361">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87.8391</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3E5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118.3666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2832">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254.5947</w:t>
            </w:r>
          </w:p>
        </w:tc>
      </w:tr>
      <w:tr w14:paraId="4717F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C819">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双子河街道</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BA17">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2.5312</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C50A">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5.0023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B76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2.8203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36A4">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10.3538</w:t>
            </w:r>
          </w:p>
        </w:tc>
      </w:tr>
      <w:tr w14:paraId="065CA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A171">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铁林街道</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5C72">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0.6844</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6126">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6.4140</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9B1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9766">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7.0984</w:t>
            </w:r>
          </w:p>
        </w:tc>
      </w:tr>
      <w:tr w14:paraId="46F9E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3BC4">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友好街道</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7759">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75.6789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A044">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668.0124</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912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342.3577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1F43">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1086.049</w:t>
            </w:r>
          </w:p>
        </w:tc>
      </w:tr>
      <w:tr w14:paraId="0741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6BFA">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松花江分局绥棱林业局</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E052">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0</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048E">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0</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CDB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1F05">
            <w:pPr>
              <w:keepNext w:val="0"/>
              <w:keepLines w:val="0"/>
              <w:pageBreakBefore w:val="0"/>
              <w:widowControl/>
              <w:suppressLineNumbers w:val="0"/>
              <w:kinsoku/>
              <w:wordWrap/>
              <w:overflowPunct/>
              <w:topLinePunct w:val="0"/>
              <w:autoSpaceDE/>
              <w:autoSpaceDN/>
              <w:bidi w:val="0"/>
              <w:snapToGrid/>
              <w:spacing w:line="360" w:lineRule="auto"/>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0</w:t>
            </w:r>
          </w:p>
        </w:tc>
      </w:tr>
      <w:tr w14:paraId="33D76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F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合计（公顷）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A7600">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127.2835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B2B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767.2678</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ADD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463.5446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100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1358.0959</w:t>
            </w:r>
          </w:p>
        </w:tc>
      </w:tr>
    </w:tbl>
    <w:p w14:paraId="4E941104">
      <w:pPr>
        <w:pStyle w:val="3"/>
        <w:numPr>
          <w:ilvl w:val="0"/>
          <w:numId w:val="0"/>
        </w:numPr>
        <w:ind w:leftChars="200"/>
        <w:jc w:val="both"/>
        <w:rPr>
          <w:b w:val="0"/>
        </w:rPr>
      </w:pPr>
      <w:bookmarkStart w:id="247" w:name="_Toc31028"/>
      <w:bookmarkStart w:id="248" w:name="_Toc28445"/>
      <w:bookmarkStart w:id="249" w:name="_Toc26490"/>
      <w:bookmarkStart w:id="250" w:name="_Toc11680"/>
      <w:bookmarkStart w:id="251" w:name="_Toc28403"/>
      <w:bookmarkStart w:id="252" w:name="_Toc11851"/>
      <w:bookmarkStart w:id="253" w:name="_Toc2781"/>
      <w:r>
        <w:rPr>
          <w:rFonts w:hint="eastAsia"/>
          <w:lang w:val="en-US" w:eastAsia="zh-CN"/>
        </w:rPr>
        <w:t xml:space="preserve">3.3 </w:t>
      </w:r>
      <w:r>
        <w:t>禁止养殖区划定</w:t>
      </w:r>
      <w:bookmarkEnd w:id="245"/>
      <w:bookmarkEnd w:id="246"/>
      <w:bookmarkEnd w:id="247"/>
      <w:bookmarkEnd w:id="248"/>
      <w:bookmarkEnd w:id="249"/>
      <w:bookmarkEnd w:id="250"/>
      <w:bookmarkEnd w:id="251"/>
      <w:bookmarkEnd w:id="252"/>
      <w:bookmarkEnd w:id="253"/>
    </w:p>
    <w:p w14:paraId="7CBFF523">
      <w:pPr>
        <w:pStyle w:val="11"/>
        <w:ind w:leftChars="0" w:firstLine="560" w:firstLineChars="200"/>
        <w:jc w:val="both"/>
        <w:rPr>
          <w:rFonts w:ascii="黑体" w:hAnsi="黑体" w:eastAsia="黑体" w:cs="黑体"/>
          <w:spacing w:val="-4"/>
          <w:sz w:val="24"/>
          <w:szCs w:val="24"/>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开发利用现状结合各类保护区域，</w:t>
      </w:r>
      <w:r>
        <w:rPr>
          <w:rFonts w:hint="eastAsia" w:cs="Times New Roman"/>
          <w:sz w:val="28"/>
          <w:szCs w:val="28"/>
          <w:lang w:val="en-US" w:eastAsia="zh-CN"/>
        </w:rPr>
        <w:t>友好区</w:t>
      </w:r>
      <w:r>
        <w:rPr>
          <w:rFonts w:ascii="Times New Roman" w:hAnsi="Times New Roman" w:eastAsia="宋体" w:cs="Times New Roman"/>
          <w:sz w:val="28"/>
          <w:szCs w:val="28"/>
        </w:rPr>
        <w:t>养殖水域滩涂规划为禁止养殖区的区域</w:t>
      </w:r>
      <w:r>
        <w:rPr>
          <w:rFonts w:hint="eastAsia" w:cs="Times New Roman"/>
          <w:sz w:val="28"/>
          <w:szCs w:val="28"/>
          <w:lang w:val="en-US" w:eastAsia="zh-CN"/>
        </w:rPr>
        <w:t>类型包括</w:t>
      </w:r>
      <w:r>
        <w:rPr>
          <w:rFonts w:hint="eastAsia" w:cs="Times New Roman"/>
          <w:sz w:val="28"/>
          <w:szCs w:val="28"/>
          <w:lang w:eastAsia="zh-CN"/>
        </w:rPr>
        <w:t>生态保护红线（自然保护地核心保护区）禁养区（</w:t>
      </w:r>
      <w:r>
        <w:rPr>
          <w:rFonts w:hint="eastAsia" w:cs="Times New Roman"/>
          <w:sz w:val="28"/>
          <w:szCs w:val="28"/>
          <w:lang w:val="en-US" w:eastAsia="zh-CN"/>
        </w:rPr>
        <w:t>1-1-1</w:t>
      </w:r>
      <w:r>
        <w:rPr>
          <w:rFonts w:hint="eastAsia" w:cs="Times New Roman"/>
          <w:sz w:val="28"/>
          <w:szCs w:val="28"/>
          <w:lang w:eastAsia="zh-CN"/>
        </w:rPr>
        <w:t>）、其他生态极敏感区及极脆弱区禁养区（</w:t>
      </w:r>
      <w:r>
        <w:rPr>
          <w:rFonts w:hint="eastAsia" w:cs="Times New Roman"/>
          <w:sz w:val="28"/>
          <w:szCs w:val="28"/>
          <w:lang w:val="en-US" w:eastAsia="zh-CN"/>
        </w:rPr>
        <w:t>1-1-7</w:t>
      </w:r>
      <w:r>
        <w:rPr>
          <w:rFonts w:hint="eastAsia" w:cs="Times New Roman"/>
          <w:sz w:val="28"/>
          <w:szCs w:val="28"/>
          <w:lang w:eastAsia="zh-CN"/>
        </w:rPr>
        <w:t>）、饮用水水源地一级保护区禁养区（</w:t>
      </w:r>
      <w:r>
        <w:rPr>
          <w:rFonts w:hint="eastAsia" w:cs="Times New Roman"/>
          <w:sz w:val="28"/>
          <w:szCs w:val="28"/>
          <w:lang w:val="en-US" w:eastAsia="zh-CN"/>
        </w:rPr>
        <w:t>1</w:t>
      </w:r>
      <w:r>
        <w:rPr>
          <w:rFonts w:hint="eastAsia" w:cs="Times New Roman"/>
          <w:sz w:val="28"/>
          <w:szCs w:val="28"/>
          <w:lang w:eastAsia="zh-CN"/>
        </w:rPr>
        <w:t>-2）、城镇开发边界禁养区（</w:t>
      </w:r>
      <w:r>
        <w:rPr>
          <w:rFonts w:hint="eastAsia" w:cs="Times New Roman"/>
          <w:sz w:val="28"/>
          <w:szCs w:val="28"/>
          <w:lang w:val="en-US" w:eastAsia="zh-CN"/>
        </w:rPr>
        <w:t>1-3</w:t>
      </w:r>
      <w:r>
        <w:rPr>
          <w:rFonts w:hint="eastAsia" w:cs="Times New Roman"/>
          <w:sz w:val="28"/>
          <w:szCs w:val="28"/>
          <w:lang w:eastAsia="zh-CN"/>
        </w:rPr>
        <w:t>）、耕地及永久基本农田保护红线禁养区（</w:t>
      </w:r>
      <w:r>
        <w:rPr>
          <w:rFonts w:hint="eastAsia" w:cs="Times New Roman"/>
          <w:sz w:val="28"/>
          <w:szCs w:val="28"/>
          <w:lang w:val="en-US" w:eastAsia="zh-CN"/>
        </w:rPr>
        <w:t>1-4</w:t>
      </w:r>
      <w:r>
        <w:rPr>
          <w:rFonts w:hint="eastAsia" w:cs="Times New Roman"/>
          <w:sz w:val="28"/>
          <w:szCs w:val="28"/>
          <w:lang w:eastAsia="zh-CN"/>
        </w:rPr>
        <w:t>），</w:t>
      </w:r>
      <w:r>
        <w:rPr>
          <w:rFonts w:ascii="Times New Roman" w:hAnsi="Times New Roman" w:eastAsia="宋体" w:cs="Times New Roman"/>
          <w:sz w:val="28"/>
          <w:szCs w:val="28"/>
        </w:rPr>
        <w:t>禁养区总面积</w:t>
      </w:r>
      <w:r>
        <w:rPr>
          <w:rFonts w:hint="eastAsia" w:ascii="Times New Roman" w:hAnsi="Times New Roman" w:eastAsia="宋体" w:cs="Times New Roman"/>
          <w:sz w:val="28"/>
          <w:szCs w:val="28"/>
          <w:lang w:val="en-US" w:eastAsia="zh-CN"/>
        </w:rPr>
        <w:t>127.2835</w:t>
      </w:r>
      <w:r>
        <w:rPr>
          <w:rFonts w:ascii="Times New Roman" w:hAnsi="Times New Roman" w:eastAsia="宋体" w:cs="Times New Roman"/>
          <w:sz w:val="28"/>
          <w:szCs w:val="28"/>
          <w:highlight w:val="none"/>
        </w:rPr>
        <w:t>公顷</w:t>
      </w:r>
      <w:r>
        <w:rPr>
          <w:rFonts w:ascii="Times New Roman" w:hAnsi="Times New Roman" w:eastAsia="宋体" w:cs="Times New Roman"/>
          <w:sz w:val="28"/>
          <w:szCs w:val="28"/>
        </w:rPr>
        <w:t>。</w:t>
      </w:r>
    </w:p>
    <w:p w14:paraId="65182C9C">
      <w:pPr>
        <w:keepNext w:val="0"/>
        <w:keepLines w:val="0"/>
        <w:pageBreakBefore w:val="0"/>
        <w:widowControl w:val="0"/>
        <w:kinsoku/>
        <w:wordWrap/>
        <w:overflowPunct/>
        <w:topLinePunct w:val="0"/>
        <w:autoSpaceDE/>
        <w:autoSpaceDN/>
        <w:bidi w:val="0"/>
        <w:adjustRightInd/>
        <w:snapToGrid/>
        <w:spacing w:before="169" w:line="480" w:lineRule="auto"/>
        <w:jc w:val="center"/>
        <w:textAlignment w:val="auto"/>
        <w:rPr>
          <w:rFonts w:ascii="黑体" w:hAnsi="黑体" w:eastAsia="黑体" w:cs="黑体"/>
          <w:spacing w:val="-4"/>
          <w:sz w:val="24"/>
          <w:szCs w:val="24"/>
        </w:rPr>
      </w:pPr>
      <w:r>
        <w:rPr>
          <w:rFonts w:ascii="黑体" w:hAnsi="黑体" w:eastAsia="黑体" w:cs="黑体"/>
          <w:spacing w:val="-4"/>
          <w:sz w:val="24"/>
          <w:szCs w:val="24"/>
        </w:rPr>
        <w:t>表</w:t>
      </w:r>
      <w:r>
        <w:rPr>
          <w:rFonts w:ascii="黑体" w:hAnsi="黑体" w:eastAsia="黑体" w:cs="黑体"/>
          <w:spacing w:val="-46"/>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32"/>
          <w:sz w:val="24"/>
          <w:szCs w:val="24"/>
        </w:rPr>
        <w:t xml:space="preserve"> </w:t>
      </w:r>
      <w:r>
        <w:rPr>
          <w:rFonts w:hint="eastAsia" w:eastAsia="宋体" w:cs="Times New Roman"/>
          <w:spacing w:val="-4"/>
          <w:sz w:val="24"/>
          <w:szCs w:val="24"/>
          <w:lang w:val="en-US" w:eastAsia="zh-CN"/>
        </w:rPr>
        <w:t>4</w:t>
      </w:r>
      <w:r>
        <w:rPr>
          <w:rFonts w:ascii="Times New Roman" w:hAnsi="Times New Roman" w:eastAsia="Times New Roman" w:cs="Times New Roman"/>
          <w:spacing w:val="-4"/>
          <w:sz w:val="24"/>
          <w:szCs w:val="24"/>
        </w:rPr>
        <w:t xml:space="preserve"> </w:t>
      </w:r>
      <w:r>
        <w:rPr>
          <w:rFonts w:ascii="黑体" w:hAnsi="黑体" w:eastAsia="黑体" w:cs="黑体"/>
          <w:spacing w:val="-4"/>
          <w:sz w:val="24"/>
          <w:szCs w:val="24"/>
        </w:rPr>
        <w:t>禁养区类型统计表</w:t>
      </w:r>
    </w:p>
    <w:tbl>
      <w:tblPr>
        <w:tblStyle w:val="21"/>
        <w:tblW w:w="88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6"/>
        <w:gridCol w:w="1069"/>
        <w:gridCol w:w="3821"/>
        <w:gridCol w:w="1494"/>
        <w:gridCol w:w="1777"/>
      </w:tblGrid>
      <w:tr w14:paraId="23D9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5429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106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C09C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82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88AF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类型</w:t>
            </w:r>
            <w:r>
              <w:rPr>
                <w:rFonts w:hint="eastAsia" w:ascii="宋体" w:hAnsi="宋体" w:eastAsia="宋体" w:cs="宋体"/>
                <w:i w:val="0"/>
                <w:iCs w:val="0"/>
                <w:color w:val="000000"/>
                <w:kern w:val="0"/>
                <w:sz w:val="22"/>
                <w:szCs w:val="22"/>
                <w:u w:val="none"/>
                <w:lang w:val="en-US" w:eastAsia="zh-CN" w:bidi="ar"/>
              </w:rPr>
              <w:t>名称</w:t>
            </w:r>
          </w:p>
        </w:tc>
        <w:tc>
          <w:tcPr>
            <w:tcW w:w="149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CDB0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c>
          <w:tcPr>
            <w:tcW w:w="177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AAF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其中：水域滩涂面积（公顷）</w:t>
            </w:r>
          </w:p>
        </w:tc>
      </w:tr>
      <w:tr w14:paraId="1C20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4" w:hRule="atLeast"/>
        </w:trPr>
        <w:tc>
          <w:tcPr>
            <w:tcW w:w="736" w:type="dxa"/>
            <w:vMerge w:val="restart"/>
            <w:tcBorders>
              <w:top w:val="single" w:color="000000" w:sz="4" w:space="0"/>
              <w:left w:val="single" w:color="000000" w:sz="8" w:space="0"/>
              <w:bottom w:val="single" w:color="000000" w:sz="8" w:space="0"/>
              <w:right w:val="single" w:color="000000" w:sz="4" w:space="0"/>
            </w:tcBorders>
            <w:shd w:val="clear" w:color="auto" w:fill="auto"/>
            <w:vAlign w:val="center"/>
          </w:tcPr>
          <w:p w14:paraId="68B80C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069" w:type="dxa"/>
            <w:vMerge w:val="restart"/>
            <w:tcBorders>
              <w:top w:val="single" w:color="000000" w:sz="4" w:space="0"/>
              <w:left w:val="single" w:color="000000" w:sz="4" w:space="0"/>
              <w:bottom w:val="single" w:color="000000" w:sz="8" w:space="0"/>
              <w:right w:val="single" w:color="000000" w:sz="4" w:space="0"/>
            </w:tcBorders>
            <w:shd w:val="clear" w:color="auto" w:fill="auto"/>
            <w:vAlign w:val="center"/>
          </w:tcPr>
          <w:p w14:paraId="17648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禁养区</w:t>
            </w:r>
          </w:p>
        </w:tc>
        <w:tc>
          <w:tcPr>
            <w:tcW w:w="3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1D8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生态保护红线（自然保护地核心保护区）域禁养区（1-1-1）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D4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23146.8149</w:t>
            </w:r>
          </w:p>
        </w:tc>
        <w:tc>
          <w:tcPr>
            <w:tcW w:w="17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791D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52.9831</w:t>
            </w:r>
          </w:p>
        </w:tc>
      </w:tr>
      <w:tr w14:paraId="0F240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736"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14:paraId="3B7FCDA5">
            <w:pPr>
              <w:jc w:val="center"/>
              <w:rPr>
                <w:rFonts w:hint="default" w:ascii="Times New Roman" w:hAnsi="Times New Roman" w:eastAsia="宋体" w:cs="Times New Roman"/>
                <w:i w:val="0"/>
                <w:iCs w:val="0"/>
                <w:color w:val="000000"/>
                <w:sz w:val="22"/>
                <w:szCs w:val="22"/>
                <w:u w:val="none"/>
              </w:rPr>
            </w:pPr>
          </w:p>
        </w:tc>
        <w:tc>
          <w:tcPr>
            <w:tcW w:w="1069"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14:paraId="5724C619">
            <w:pPr>
              <w:jc w:val="center"/>
              <w:rPr>
                <w:rFonts w:hint="eastAsia" w:ascii="宋体" w:hAnsi="宋体" w:eastAsia="宋体" w:cs="宋体"/>
                <w:i w:val="0"/>
                <w:iCs w:val="0"/>
                <w:color w:val="000000"/>
                <w:sz w:val="22"/>
                <w:szCs w:val="22"/>
                <w:u w:val="none"/>
              </w:rPr>
            </w:pPr>
          </w:p>
        </w:tc>
        <w:tc>
          <w:tcPr>
            <w:tcW w:w="3821" w:type="dxa"/>
            <w:tcBorders>
              <w:top w:val="single" w:color="000000" w:sz="4" w:space="0"/>
              <w:left w:val="single" w:color="000000" w:sz="4" w:space="0"/>
              <w:bottom w:val="nil"/>
              <w:right w:val="single" w:color="000000" w:sz="4" w:space="0"/>
            </w:tcBorders>
            <w:shd w:val="clear" w:color="auto" w:fill="auto"/>
            <w:vAlign w:val="center"/>
          </w:tcPr>
          <w:p w14:paraId="31522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其他生态极敏感区及极脆弱区禁养区</w:t>
            </w:r>
          </w:p>
          <w:p w14:paraId="3BA8939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35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809.7113</w:t>
            </w:r>
          </w:p>
        </w:tc>
        <w:tc>
          <w:tcPr>
            <w:tcW w:w="17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9190A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7.2119</w:t>
            </w:r>
          </w:p>
        </w:tc>
      </w:tr>
      <w:tr w14:paraId="7FF6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6"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14:paraId="2FE3C57E">
            <w:pPr>
              <w:jc w:val="center"/>
              <w:rPr>
                <w:rFonts w:hint="default" w:ascii="Times New Roman" w:hAnsi="Times New Roman" w:eastAsia="宋体" w:cs="Times New Roman"/>
                <w:i w:val="0"/>
                <w:iCs w:val="0"/>
                <w:color w:val="000000"/>
                <w:sz w:val="22"/>
                <w:szCs w:val="22"/>
                <w:u w:val="none"/>
              </w:rPr>
            </w:pPr>
          </w:p>
        </w:tc>
        <w:tc>
          <w:tcPr>
            <w:tcW w:w="1069"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14:paraId="5E1DE19C">
            <w:pPr>
              <w:jc w:val="center"/>
              <w:rPr>
                <w:rFonts w:hint="eastAsia" w:ascii="宋体" w:hAnsi="宋体" w:eastAsia="宋体" w:cs="宋体"/>
                <w:i w:val="0"/>
                <w:iCs w:val="0"/>
                <w:color w:val="000000"/>
                <w:sz w:val="22"/>
                <w:szCs w:val="22"/>
                <w:u w:val="none"/>
              </w:rPr>
            </w:pPr>
          </w:p>
        </w:tc>
        <w:tc>
          <w:tcPr>
            <w:tcW w:w="3821" w:type="dxa"/>
            <w:tcBorders>
              <w:top w:val="single" w:color="000000" w:sz="4" w:space="0"/>
              <w:left w:val="single" w:color="000000" w:sz="4" w:space="0"/>
              <w:bottom w:val="nil"/>
              <w:right w:val="single" w:color="000000" w:sz="4" w:space="0"/>
            </w:tcBorders>
            <w:shd w:val="clear" w:color="auto" w:fill="auto"/>
            <w:vAlign w:val="center"/>
          </w:tcPr>
          <w:p w14:paraId="6A82CD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饮用水水源地一级保护区禁养区</w:t>
            </w:r>
          </w:p>
          <w:p w14:paraId="16D432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222F">
            <w:pPr>
              <w:jc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456.6</w:t>
            </w:r>
            <w:r>
              <w:rPr>
                <w:rFonts w:hint="eastAsia" w:cs="Times New Roman"/>
                <w:i w:val="0"/>
                <w:iCs w:val="0"/>
                <w:color w:val="000000"/>
                <w:kern w:val="2"/>
                <w:sz w:val="22"/>
                <w:szCs w:val="22"/>
                <w:u w:val="none"/>
                <w:lang w:val="en-US" w:eastAsia="zh-CN" w:bidi="ar-SA"/>
              </w:rPr>
              <w:t>8</w:t>
            </w:r>
          </w:p>
        </w:tc>
        <w:tc>
          <w:tcPr>
            <w:tcW w:w="17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7FF23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60.2790</w:t>
            </w:r>
          </w:p>
        </w:tc>
      </w:tr>
      <w:tr w14:paraId="3ECAE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trPr>
        <w:tc>
          <w:tcPr>
            <w:tcW w:w="736"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14:paraId="651EE53C">
            <w:pPr>
              <w:jc w:val="center"/>
              <w:rPr>
                <w:rFonts w:hint="default" w:ascii="Times New Roman" w:hAnsi="Times New Roman" w:eastAsia="宋体" w:cs="Times New Roman"/>
                <w:i w:val="0"/>
                <w:iCs w:val="0"/>
                <w:color w:val="000000"/>
                <w:sz w:val="22"/>
                <w:szCs w:val="22"/>
                <w:u w:val="none"/>
              </w:rPr>
            </w:pPr>
          </w:p>
        </w:tc>
        <w:tc>
          <w:tcPr>
            <w:tcW w:w="1069"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14:paraId="12EF5C13">
            <w:pPr>
              <w:jc w:val="center"/>
              <w:rPr>
                <w:rFonts w:hint="eastAsia" w:ascii="宋体" w:hAnsi="宋体" w:eastAsia="宋体" w:cs="宋体"/>
                <w:i w:val="0"/>
                <w:iCs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D2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耕地及永久基本农田保护红线</w:t>
            </w:r>
          </w:p>
          <w:p w14:paraId="5A7E5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禁养区（1-4）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7B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9784</w:t>
            </w:r>
            <w:r>
              <w:rPr>
                <w:rFonts w:hint="default" w:ascii="Times New Roman" w:hAnsi="Times New Roman" w:eastAsia="宋体" w:cs="Times New Roman"/>
                <w:i w:val="0"/>
                <w:iCs w:val="0"/>
                <w:color w:val="000000"/>
                <w:sz w:val="22"/>
                <w:szCs w:val="22"/>
                <w:u w:val="none"/>
                <w:lang w:val="en-US" w:eastAsia="zh-CN"/>
              </w:rPr>
              <w:t>.</w:t>
            </w:r>
            <w:r>
              <w:rPr>
                <w:rFonts w:hint="default" w:ascii="Times New Roman" w:hAnsi="Times New Roman" w:eastAsia="宋体" w:cs="Times New Roman"/>
                <w:i w:val="0"/>
                <w:iCs w:val="0"/>
                <w:color w:val="000000"/>
                <w:sz w:val="22"/>
                <w:szCs w:val="22"/>
                <w:u w:val="none"/>
              </w:rPr>
              <w:t>7891</w:t>
            </w:r>
          </w:p>
        </w:tc>
        <w:tc>
          <w:tcPr>
            <w:tcW w:w="17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833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2.1043</w:t>
            </w:r>
          </w:p>
        </w:tc>
      </w:tr>
      <w:tr w14:paraId="47CE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trPr>
        <w:tc>
          <w:tcPr>
            <w:tcW w:w="736"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14:paraId="49CC3FE2">
            <w:pPr>
              <w:jc w:val="center"/>
              <w:rPr>
                <w:rFonts w:hint="default" w:ascii="Times New Roman" w:hAnsi="Times New Roman" w:eastAsia="宋体" w:cs="Times New Roman"/>
                <w:i w:val="0"/>
                <w:iCs w:val="0"/>
                <w:color w:val="000000"/>
                <w:sz w:val="22"/>
                <w:szCs w:val="22"/>
                <w:u w:val="none"/>
              </w:rPr>
            </w:pPr>
          </w:p>
        </w:tc>
        <w:tc>
          <w:tcPr>
            <w:tcW w:w="1069"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14:paraId="11EE158D">
            <w:pPr>
              <w:jc w:val="center"/>
              <w:rPr>
                <w:rFonts w:hint="eastAsia" w:ascii="宋体" w:hAnsi="宋体" w:eastAsia="宋体" w:cs="宋体"/>
                <w:i w:val="0"/>
                <w:iCs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C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城镇开发边界禁养区</w:t>
            </w:r>
          </w:p>
          <w:p w14:paraId="6F8E6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2F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1279.6978</w:t>
            </w:r>
          </w:p>
        </w:tc>
        <w:tc>
          <w:tcPr>
            <w:tcW w:w="17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E171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4.7052</w:t>
            </w:r>
          </w:p>
        </w:tc>
      </w:tr>
      <w:tr w14:paraId="0A13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736"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14:paraId="6A109CFD">
            <w:pPr>
              <w:jc w:val="center"/>
              <w:rPr>
                <w:rFonts w:hint="default" w:ascii="Times New Roman" w:hAnsi="Times New Roman" w:eastAsia="宋体" w:cs="Times New Roman"/>
                <w:i w:val="0"/>
                <w:iCs w:val="0"/>
                <w:color w:val="000000"/>
                <w:sz w:val="22"/>
                <w:szCs w:val="22"/>
                <w:u w:val="none"/>
              </w:rPr>
            </w:pPr>
          </w:p>
        </w:tc>
        <w:tc>
          <w:tcPr>
            <w:tcW w:w="1069"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14:paraId="7AEA1F49">
            <w:pPr>
              <w:jc w:val="center"/>
              <w:rPr>
                <w:rFonts w:hint="eastAsia" w:ascii="宋体" w:hAnsi="宋体" w:eastAsia="宋体" w:cs="宋体"/>
                <w:i w:val="0"/>
                <w:iCs w:val="0"/>
                <w:color w:val="000000"/>
                <w:sz w:val="22"/>
                <w:szCs w:val="22"/>
                <w:u w:val="none"/>
              </w:rPr>
            </w:pPr>
          </w:p>
        </w:tc>
        <w:tc>
          <w:tcPr>
            <w:tcW w:w="382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33D1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9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0043C9B">
            <w:pPr>
              <w:jc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35477.6931</w:t>
            </w:r>
          </w:p>
        </w:tc>
        <w:tc>
          <w:tcPr>
            <w:tcW w:w="1777"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D57CE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127.2835</w:t>
            </w:r>
          </w:p>
        </w:tc>
      </w:tr>
    </w:tbl>
    <w:p w14:paraId="2B613998">
      <w:pPr>
        <w:rPr>
          <w:rFonts w:hint="default" w:eastAsia="宋体"/>
          <w:lang w:val="en-US" w:eastAsia="zh-CN"/>
        </w:rPr>
      </w:pPr>
    </w:p>
    <w:p w14:paraId="5DF3CB4B">
      <w:pPr>
        <w:pStyle w:val="35"/>
        <w:keepNext w:val="0"/>
        <w:keepLines w:val="0"/>
        <w:pageBreakBefore w:val="0"/>
        <w:widowControl w:val="0"/>
        <w:kinsoku/>
        <w:wordWrap/>
        <w:overflowPunct/>
        <w:topLinePunct w:val="0"/>
        <w:autoSpaceDE/>
        <w:autoSpaceDN/>
        <w:bidi w:val="0"/>
        <w:adjustRightInd w:val="0"/>
        <w:snapToGrid/>
        <w:spacing w:line="480" w:lineRule="auto"/>
        <w:jc w:val="center"/>
        <w:textAlignment w:val="auto"/>
        <w:rPr>
          <w:rFonts w:ascii="黑体" w:hAnsi="黑体" w:eastAsia="黑体" w:cs="黑体"/>
          <w:spacing w:val="-4"/>
          <w:kern w:val="2"/>
          <w:sz w:val="24"/>
          <w:szCs w:val="24"/>
          <w:lang w:val="en-US" w:eastAsia="zh-CN" w:bidi="ar-SA"/>
        </w:rPr>
      </w:pPr>
      <w:r>
        <w:rPr>
          <w:rFonts w:ascii="黑体" w:hAnsi="黑体" w:eastAsia="黑体" w:cs="黑体"/>
          <w:spacing w:val="-4"/>
          <w:kern w:val="2"/>
          <w:sz w:val="24"/>
          <w:szCs w:val="24"/>
          <w:lang w:val="en-US" w:eastAsia="zh-CN" w:bidi="ar-SA"/>
        </w:rPr>
        <w:t>表 3-</w:t>
      </w:r>
      <w:r>
        <w:rPr>
          <w:rFonts w:hint="eastAsia" w:ascii="黑体" w:hAnsi="黑体" w:eastAsia="黑体" w:cs="黑体"/>
          <w:spacing w:val="-4"/>
          <w:kern w:val="2"/>
          <w:sz w:val="24"/>
          <w:szCs w:val="24"/>
          <w:lang w:val="en-US" w:eastAsia="zh-CN" w:bidi="ar-SA"/>
        </w:rPr>
        <w:t>5</w:t>
      </w:r>
      <w:r>
        <w:rPr>
          <w:rFonts w:ascii="黑体" w:hAnsi="黑体" w:eastAsia="黑体" w:cs="黑体"/>
          <w:spacing w:val="-4"/>
          <w:kern w:val="2"/>
          <w:sz w:val="24"/>
          <w:szCs w:val="24"/>
          <w:lang w:val="en-US" w:eastAsia="zh-CN" w:bidi="ar-SA"/>
        </w:rPr>
        <w:t xml:space="preserve"> </w:t>
      </w:r>
      <w:r>
        <w:rPr>
          <w:rFonts w:hint="eastAsia" w:ascii="黑体" w:hAnsi="黑体" w:eastAsia="黑体" w:cs="黑体"/>
          <w:spacing w:val="-4"/>
          <w:kern w:val="2"/>
          <w:sz w:val="24"/>
          <w:szCs w:val="24"/>
          <w:lang w:val="en-US" w:eastAsia="zh-CN" w:bidi="ar-SA"/>
        </w:rPr>
        <w:t>友好区各乡镇</w:t>
      </w:r>
      <w:r>
        <w:rPr>
          <w:rFonts w:ascii="黑体" w:hAnsi="黑体" w:eastAsia="黑体" w:cs="黑体"/>
          <w:spacing w:val="-4"/>
          <w:kern w:val="2"/>
          <w:sz w:val="24"/>
          <w:szCs w:val="24"/>
          <w:lang w:val="en-US" w:eastAsia="zh-CN" w:bidi="ar-SA"/>
        </w:rPr>
        <w:t>养殖水域滩涂禁养区</w:t>
      </w:r>
      <w:r>
        <w:rPr>
          <w:rFonts w:hint="eastAsia" w:ascii="黑体" w:hAnsi="黑体" w:eastAsia="黑体" w:cs="黑体"/>
          <w:spacing w:val="-4"/>
          <w:kern w:val="2"/>
          <w:sz w:val="24"/>
          <w:szCs w:val="24"/>
          <w:lang w:val="en-US" w:eastAsia="zh-CN" w:bidi="ar-SA"/>
        </w:rPr>
        <w:t>面积</w:t>
      </w:r>
      <w:r>
        <w:rPr>
          <w:rFonts w:ascii="黑体" w:hAnsi="黑体" w:eastAsia="黑体" w:cs="黑体"/>
          <w:spacing w:val="-4"/>
          <w:kern w:val="2"/>
          <w:sz w:val="24"/>
          <w:szCs w:val="24"/>
          <w:lang w:val="en-US" w:eastAsia="zh-CN" w:bidi="ar-SA"/>
        </w:rPr>
        <w:t>表</w:t>
      </w:r>
    </w:p>
    <w:tbl>
      <w:tblPr>
        <w:tblStyle w:val="21"/>
        <w:tblW w:w="89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79"/>
        <w:gridCol w:w="1322"/>
        <w:gridCol w:w="1424"/>
        <w:gridCol w:w="1424"/>
        <w:gridCol w:w="1424"/>
        <w:gridCol w:w="1424"/>
      </w:tblGrid>
      <w:tr w14:paraId="4D273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19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4D7E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254" w:name="_Toc28335"/>
            <w:r>
              <w:rPr>
                <w:rFonts w:hint="eastAsia" w:ascii="宋体" w:hAnsi="宋体" w:eastAsia="宋体" w:cs="宋体"/>
                <w:i w:val="0"/>
                <w:iCs w:val="0"/>
                <w:color w:val="000000"/>
                <w:kern w:val="0"/>
                <w:sz w:val="20"/>
                <w:szCs w:val="20"/>
                <w:u w:val="none"/>
                <w:lang w:val="en-US" w:eastAsia="zh-CN" w:bidi="ar"/>
              </w:rPr>
              <w:t>行政区名称</w:t>
            </w:r>
          </w:p>
        </w:tc>
        <w:tc>
          <w:tcPr>
            <w:tcW w:w="13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64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河流水面</w:t>
            </w:r>
          </w:p>
        </w:tc>
        <w:tc>
          <w:tcPr>
            <w:tcW w:w="142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F4E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坑塘水面</w:t>
            </w:r>
          </w:p>
        </w:tc>
        <w:tc>
          <w:tcPr>
            <w:tcW w:w="142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82D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养殖坑塘</w:t>
            </w:r>
          </w:p>
        </w:tc>
        <w:tc>
          <w:tcPr>
            <w:tcW w:w="142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6FE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内陆滩涂</w:t>
            </w:r>
          </w:p>
        </w:tc>
        <w:tc>
          <w:tcPr>
            <w:tcW w:w="142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B2C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r>
      <w:tr w14:paraId="3455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19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8D03FF">
            <w:pPr>
              <w:jc w:val="center"/>
              <w:rPr>
                <w:rFonts w:hint="eastAsia" w:ascii="宋体" w:hAnsi="宋体" w:eastAsia="宋体" w:cs="宋体"/>
                <w:i w:val="0"/>
                <w:iCs w:val="0"/>
                <w:color w:val="000000"/>
                <w:sz w:val="20"/>
                <w:szCs w:val="20"/>
                <w:u w:val="none"/>
              </w:rPr>
            </w:pP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55A87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120A7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67619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10F58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3803D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r>
      <w:tr w14:paraId="427F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979" w:type="dxa"/>
            <w:tcBorders>
              <w:top w:val="nil"/>
              <w:left w:val="single" w:color="000000" w:sz="8" w:space="0"/>
              <w:bottom w:val="single" w:color="000000" w:sz="8" w:space="0"/>
              <w:right w:val="single" w:color="000000" w:sz="8" w:space="0"/>
            </w:tcBorders>
            <w:shd w:val="clear" w:color="auto" w:fill="auto"/>
            <w:vAlign w:val="center"/>
          </w:tcPr>
          <w:p w14:paraId="14B5E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上甘岭镇</w:t>
            </w: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54D38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23.9208</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1EAE7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22.7467</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4F73B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1.5432</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0EDC2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0.1782</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524DA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48.3889</w:t>
            </w:r>
          </w:p>
        </w:tc>
      </w:tr>
      <w:tr w14:paraId="1E192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1979" w:type="dxa"/>
            <w:tcBorders>
              <w:top w:val="nil"/>
              <w:left w:val="single" w:color="000000" w:sz="8" w:space="0"/>
              <w:bottom w:val="single" w:color="000000" w:sz="8" w:space="0"/>
              <w:right w:val="single" w:color="000000" w:sz="8" w:space="0"/>
            </w:tcBorders>
            <w:shd w:val="clear" w:color="auto" w:fill="auto"/>
            <w:vAlign w:val="center"/>
          </w:tcPr>
          <w:p w14:paraId="7B911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双子河街道</w:t>
            </w: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3D7E4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0.1402</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08AC6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2.391</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0DADA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16076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068F8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2.5312</w:t>
            </w:r>
          </w:p>
        </w:tc>
      </w:tr>
      <w:tr w14:paraId="72401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979" w:type="dxa"/>
            <w:tcBorders>
              <w:top w:val="nil"/>
              <w:left w:val="single" w:color="000000" w:sz="8" w:space="0"/>
              <w:bottom w:val="single" w:color="000000" w:sz="8" w:space="0"/>
              <w:right w:val="single" w:color="000000" w:sz="8" w:space="0"/>
            </w:tcBorders>
            <w:shd w:val="clear" w:color="auto" w:fill="auto"/>
            <w:vAlign w:val="center"/>
          </w:tcPr>
          <w:p w14:paraId="4E024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铁林街道</w:t>
            </w: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3E0A2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67C1C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0.4795</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347D4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0.2049</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3EAFE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4AC26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0.6844</w:t>
            </w:r>
          </w:p>
        </w:tc>
      </w:tr>
      <w:tr w14:paraId="0E5D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979" w:type="dxa"/>
            <w:tcBorders>
              <w:top w:val="nil"/>
              <w:left w:val="single" w:color="000000" w:sz="8" w:space="0"/>
              <w:bottom w:val="single" w:color="000000" w:sz="8" w:space="0"/>
              <w:right w:val="single" w:color="000000" w:sz="8" w:space="0"/>
            </w:tcBorders>
            <w:shd w:val="clear" w:color="auto" w:fill="auto"/>
            <w:vAlign w:val="center"/>
          </w:tcPr>
          <w:p w14:paraId="59220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友好街道</w:t>
            </w: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6A8C6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51.5584</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12711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5.4332</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4D066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66D67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18.6874</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37025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75.679</w:t>
            </w:r>
          </w:p>
        </w:tc>
      </w:tr>
      <w:tr w14:paraId="77C1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979" w:type="dxa"/>
            <w:tcBorders>
              <w:top w:val="nil"/>
              <w:left w:val="single" w:color="000000" w:sz="8" w:space="0"/>
              <w:bottom w:val="single" w:color="000000" w:sz="8" w:space="0"/>
              <w:right w:val="single" w:color="000000" w:sz="8" w:space="0"/>
            </w:tcBorders>
            <w:shd w:val="clear" w:color="auto" w:fill="auto"/>
            <w:vAlign w:val="center"/>
          </w:tcPr>
          <w:p w14:paraId="585E3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松花江分局绥棱林业局</w:t>
            </w: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634D0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4DA35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761C7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28EB3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7388F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r>
      <w:tr w14:paraId="30781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1979" w:type="dxa"/>
            <w:tcBorders>
              <w:top w:val="nil"/>
              <w:left w:val="single" w:color="000000" w:sz="8" w:space="0"/>
              <w:bottom w:val="single" w:color="000000" w:sz="8" w:space="0"/>
              <w:right w:val="single" w:color="000000" w:sz="8" w:space="0"/>
            </w:tcBorders>
            <w:shd w:val="clear" w:color="auto" w:fill="auto"/>
            <w:vAlign w:val="center"/>
          </w:tcPr>
          <w:p w14:paraId="57E15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322" w:type="dxa"/>
            <w:tcBorders>
              <w:top w:val="nil"/>
              <w:left w:val="single" w:color="000000" w:sz="8" w:space="0"/>
              <w:bottom w:val="single" w:color="000000" w:sz="8" w:space="0"/>
              <w:right w:val="single" w:color="000000" w:sz="8" w:space="0"/>
            </w:tcBorders>
            <w:shd w:val="clear" w:color="auto" w:fill="auto"/>
            <w:vAlign w:val="center"/>
          </w:tcPr>
          <w:p w14:paraId="57EDB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75.6194</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459C1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31.0504</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351F1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1.7481</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6102C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18.8656</w:t>
            </w:r>
          </w:p>
        </w:tc>
        <w:tc>
          <w:tcPr>
            <w:tcW w:w="1424" w:type="dxa"/>
            <w:tcBorders>
              <w:top w:val="nil"/>
              <w:left w:val="single" w:color="000000" w:sz="8" w:space="0"/>
              <w:bottom w:val="single" w:color="000000" w:sz="8" w:space="0"/>
              <w:right w:val="single" w:color="000000" w:sz="8" w:space="0"/>
            </w:tcBorders>
            <w:shd w:val="clear" w:color="auto" w:fill="auto"/>
            <w:vAlign w:val="center"/>
          </w:tcPr>
          <w:p w14:paraId="689AD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127.2835</w:t>
            </w:r>
          </w:p>
        </w:tc>
      </w:tr>
    </w:tbl>
    <w:p w14:paraId="6C0F5061">
      <w:pPr>
        <w:pStyle w:val="35"/>
        <w:jc w:val="both"/>
        <w:rPr>
          <w:highlight w:val="none"/>
        </w:rPr>
      </w:pPr>
    </w:p>
    <w:p w14:paraId="6F40438D">
      <w:pPr>
        <w:pStyle w:val="4"/>
        <w:numPr>
          <w:ilvl w:val="0"/>
          <w:numId w:val="0"/>
        </w:numPr>
        <w:ind w:leftChars="200"/>
        <w:jc w:val="both"/>
        <w:rPr>
          <w:b w:val="0"/>
        </w:rPr>
      </w:pPr>
      <w:bookmarkStart w:id="255" w:name="_Toc14763"/>
      <w:bookmarkStart w:id="256" w:name="_Toc28737"/>
      <w:bookmarkStart w:id="257" w:name="_Toc5122"/>
      <w:bookmarkStart w:id="258" w:name="_Toc26142"/>
      <w:r>
        <w:rPr>
          <w:rFonts w:hint="eastAsia"/>
          <w:lang w:val="en-US" w:eastAsia="zh-CN"/>
        </w:rPr>
        <w:t xml:space="preserve">3.3.1 </w:t>
      </w:r>
      <w:r>
        <w:t>生态保护红线核心区域禁养区</w:t>
      </w:r>
      <w:bookmarkEnd w:id="254"/>
      <w:bookmarkEnd w:id="255"/>
      <w:bookmarkEnd w:id="256"/>
      <w:bookmarkEnd w:id="257"/>
      <w:bookmarkEnd w:id="258"/>
    </w:p>
    <w:p w14:paraId="5AE7DC93">
      <w:pPr>
        <w:pStyle w:val="5"/>
        <w:ind w:left="0" w:leftChars="0" w:firstLine="560" w:firstLineChars="200"/>
        <w:jc w:val="both"/>
      </w:pPr>
      <w:r>
        <w:t>3.</w:t>
      </w:r>
      <w:r>
        <w:rPr>
          <w:rFonts w:hint="eastAsia"/>
          <w:lang w:val="en-US" w:eastAsia="zh-CN"/>
        </w:rPr>
        <w:t>3</w:t>
      </w:r>
      <w:r>
        <w:t>.1.1 自然保护地核心保护区禁养区</w:t>
      </w:r>
    </w:p>
    <w:p w14:paraId="6A7198B9">
      <w:pPr>
        <w:pStyle w:val="11"/>
        <w:ind w:leftChars="0" w:firstLine="560" w:firstLineChars="200"/>
        <w:jc w:val="both"/>
        <w:rPr>
          <w:rFonts w:ascii="Times New Roman" w:hAnsi="Times New Roman" w:eastAsia="宋体" w:cs="Times New Roman"/>
          <w:sz w:val="28"/>
          <w:szCs w:val="28"/>
        </w:rPr>
      </w:pPr>
      <w:r>
        <w:rPr>
          <w:rFonts w:hint="eastAsia" w:cs="Times New Roman"/>
          <w:sz w:val="28"/>
          <w:szCs w:val="28"/>
          <w:lang w:val="en-US" w:eastAsia="zh-CN"/>
        </w:rPr>
        <w:t>根据友好区</w:t>
      </w:r>
      <w:r>
        <w:rPr>
          <w:rFonts w:ascii="Times New Roman" w:hAnsi="Times New Roman" w:eastAsia="宋体" w:cs="Times New Roman"/>
          <w:sz w:val="28"/>
          <w:szCs w:val="28"/>
        </w:rPr>
        <w:t>生态保护红线</w:t>
      </w:r>
      <w:r>
        <w:rPr>
          <w:rFonts w:hint="eastAsia" w:cs="Times New Roman"/>
          <w:sz w:val="28"/>
          <w:szCs w:val="28"/>
          <w:lang w:val="en-US" w:eastAsia="zh-CN"/>
        </w:rPr>
        <w:t>可知，</w:t>
      </w:r>
      <w:r>
        <w:rPr>
          <w:rFonts w:hint="eastAsia" w:cs="Times New Roman"/>
          <w:sz w:val="28"/>
          <w:szCs w:val="28"/>
          <w:lang w:eastAsia="zh-CN"/>
        </w:rPr>
        <w:t>友好区</w:t>
      </w:r>
      <w:r>
        <w:rPr>
          <w:rFonts w:ascii="Times New Roman" w:hAnsi="Times New Roman" w:eastAsia="宋体" w:cs="Times New Roman"/>
          <w:sz w:val="28"/>
          <w:szCs w:val="28"/>
        </w:rPr>
        <w:t>生态保护红线面积</w:t>
      </w:r>
      <w:r>
        <w:rPr>
          <w:rFonts w:hint="eastAsia" w:cs="Times New Roman"/>
          <w:sz w:val="28"/>
          <w:szCs w:val="28"/>
          <w:lang w:val="en-US" w:eastAsia="zh-CN"/>
        </w:rPr>
        <w:t>100824.5142</w:t>
      </w:r>
      <w:r>
        <w:rPr>
          <w:rFonts w:ascii="Times New Roman" w:hAnsi="Times New Roman" w:eastAsia="宋体" w:cs="Times New Roman"/>
          <w:sz w:val="28"/>
          <w:szCs w:val="28"/>
        </w:rPr>
        <w:t>公顷，按照类型分为生物多样性维护面积</w:t>
      </w:r>
      <w:r>
        <w:rPr>
          <w:rFonts w:hint="eastAsia" w:cs="Times New Roman"/>
          <w:sz w:val="28"/>
          <w:szCs w:val="28"/>
          <w:lang w:val="en-US" w:eastAsia="zh-CN"/>
        </w:rPr>
        <w:t>36249.2403</w:t>
      </w:r>
      <w:r>
        <w:rPr>
          <w:rFonts w:ascii="Times New Roman" w:hAnsi="Times New Roman" w:eastAsia="宋体" w:cs="Times New Roman"/>
          <w:sz w:val="28"/>
          <w:szCs w:val="28"/>
        </w:rPr>
        <w:t>公顷，水土保持面积</w:t>
      </w:r>
      <w:r>
        <w:rPr>
          <w:rFonts w:hint="eastAsia" w:cs="Times New Roman"/>
          <w:sz w:val="28"/>
          <w:szCs w:val="28"/>
          <w:lang w:val="en-US" w:eastAsia="zh-CN"/>
        </w:rPr>
        <w:t>2645.6279</w:t>
      </w:r>
      <w:r>
        <w:rPr>
          <w:rFonts w:ascii="Times New Roman" w:hAnsi="Times New Roman" w:eastAsia="宋体" w:cs="Times New Roman"/>
          <w:sz w:val="28"/>
          <w:szCs w:val="28"/>
        </w:rPr>
        <w:t>公顷，水源涵养面积</w:t>
      </w:r>
      <w:r>
        <w:rPr>
          <w:rFonts w:hint="eastAsia" w:cs="Times New Roman"/>
          <w:sz w:val="28"/>
          <w:szCs w:val="28"/>
          <w:lang w:val="en-US" w:eastAsia="zh-CN"/>
        </w:rPr>
        <w:t>61929.6460</w:t>
      </w:r>
      <w:r>
        <w:rPr>
          <w:rFonts w:ascii="Times New Roman" w:hAnsi="Times New Roman" w:eastAsia="宋体" w:cs="Times New Roman"/>
          <w:sz w:val="28"/>
          <w:szCs w:val="28"/>
        </w:rPr>
        <w:t>公顷 。生态保护红线中自然保护地面积</w:t>
      </w:r>
      <w:r>
        <w:rPr>
          <w:rFonts w:hint="eastAsia" w:cs="Times New Roman"/>
          <w:sz w:val="28"/>
          <w:szCs w:val="28"/>
          <w:lang w:val="en-US" w:eastAsia="zh-CN"/>
        </w:rPr>
        <w:t>25217.9697</w:t>
      </w:r>
      <w:r>
        <w:rPr>
          <w:rFonts w:ascii="Times New Roman" w:hAnsi="Times New Roman" w:eastAsia="宋体" w:cs="Times New Roman"/>
          <w:sz w:val="28"/>
          <w:szCs w:val="28"/>
        </w:rPr>
        <w:t>公顷，生态保护红线</w:t>
      </w:r>
      <w:r>
        <w:rPr>
          <w:rFonts w:hint="eastAsia" w:cs="Times New Roman"/>
          <w:sz w:val="28"/>
          <w:szCs w:val="28"/>
          <w:lang w:val="en-US" w:eastAsia="zh-CN"/>
        </w:rPr>
        <w:t>中</w:t>
      </w:r>
      <w:r>
        <w:rPr>
          <w:rFonts w:ascii="Times New Roman" w:hAnsi="Times New Roman" w:eastAsia="宋体" w:cs="Times New Roman"/>
          <w:sz w:val="28"/>
          <w:szCs w:val="28"/>
        </w:rPr>
        <w:t>自然保护地核心保护区面积为</w:t>
      </w:r>
      <w:r>
        <w:rPr>
          <w:rFonts w:hint="eastAsia" w:cs="Times New Roman"/>
          <w:sz w:val="28"/>
          <w:szCs w:val="28"/>
          <w:lang w:val="en-US" w:eastAsia="zh-CN"/>
        </w:rPr>
        <w:t>23146.8149</w:t>
      </w:r>
      <w:r>
        <w:rPr>
          <w:rFonts w:ascii="Times New Roman" w:hAnsi="Times New Roman" w:eastAsia="宋体" w:cs="Times New Roman"/>
          <w:sz w:val="28"/>
          <w:szCs w:val="28"/>
        </w:rPr>
        <w:t>公顷。</w:t>
      </w:r>
      <w:r>
        <w:rPr>
          <w:rFonts w:hint="eastAsia" w:cs="Times New Roman"/>
          <w:sz w:val="28"/>
          <w:szCs w:val="28"/>
          <w:lang w:val="en-US" w:eastAsia="zh-CN"/>
        </w:rPr>
        <w:t>自然保护地核心保护区</w:t>
      </w:r>
      <w:r>
        <w:rPr>
          <w:rFonts w:ascii="Times New Roman" w:hAnsi="Times New Roman" w:eastAsia="宋体" w:cs="Times New Roman"/>
          <w:sz w:val="28"/>
          <w:szCs w:val="28"/>
        </w:rPr>
        <w:t>包括</w:t>
      </w:r>
      <w:r>
        <w:rPr>
          <w:rFonts w:hint="eastAsia" w:ascii="Times New Roman" w:hAnsi="Times New Roman" w:eastAsia="宋体" w:cs="Times New Roman"/>
          <w:sz w:val="28"/>
          <w:szCs w:val="28"/>
        </w:rPr>
        <w:t>黑龙江溪水国家森林公园</w:t>
      </w:r>
      <w:r>
        <w:rPr>
          <w:rFonts w:hint="eastAsia" w:cs="Times New Roman"/>
          <w:sz w:val="28"/>
          <w:szCs w:val="28"/>
          <w:lang w:eastAsia="zh-CN"/>
        </w:rPr>
        <w:t>、黑龙江乌马河国家森林公园、黑龙江友好国家级自然保护区、黑龙江丰林国家级自然保护区</w:t>
      </w:r>
      <w:r>
        <w:rPr>
          <w:rFonts w:ascii="Times New Roman" w:hAnsi="Times New Roman" w:eastAsia="宋体" w:cs="Times New Roman"/>
          <w:sz w:val="28"/>
          <w:szCs w:val="28"/>
        </w:rPr>
        <w:t xml:space="preserve">。 </w:t>
      </w:r>
    </w:p>
    <w:p w14:paraId="79B9218D">
      <w:pPr>
        <w:pStyle w:val="35"/>
        <w:keepNext w:val="0"/>
        <w:keepLines w:val="0"/>
        <w:pageBreakBefore w:val="0"/>
        <w:widowControl w:val="0"/>
        <w:kinsoku/>
        <w:wordWrap/>
        <w:overflowPunct/>
        <w:topLinePunct w:val="0"/>
        <w:autoSpaceDE/>
        <w:autoSpaceDN/>
        <w:bidi w:val="0"/>
        <w:adjustRightInd w:val="0"/>
        <w:snapToGrid/>
        <w:spacing w:line="480" w:lineRule="auto"/>
        <w:jc w:val="center"/>
        <w:textAlignment w:val="auto"/>
        <w:rPr>
          <w:rFonts w:hint="eastAsia" w:ascii="黑体" w:hAnsi="黑体" w:eastAsia="黑体" w:cs="黑体"/>
          <w:spacing w:val="-4"/>
          <w:kern w:val="2"/>
          <w:sz w:val="24"/>
          <w:szCs w:val="24"/>
          <w:lang w:val="en-US" w:eastAsia="zh-CN" w:bidi="ar-SA"/>
        </w:rPr>
      </w:pPr>
      <w:r>
        <w:rPr>
          <w:rFonts w:hint="eastAsia" w:ascii="黑体" w:hAnsi="黑体" w:eastAsia="黑体" w:cs="黑体"/>
          <w:spacing w:val="-4"/>
          <w:kern w:val="2"/>
          <w:sz w:val="24"/>
          <w:szCs w:val="24"/>
          <w:lang w:val="en-US" w:eastAsia="zh-CN" w:bidi="ar-SA"/>
        </w:rPr>
        <w:t>表3-6 友好区生态保护红线内自然保护地核心保护区面积统计表</w:t>
      </w:r>
    </w:p>
    <w:tbl>
      <w:tblPr>
        <w:tblStyle w:val="32"/>
        <w:tblW w:w="852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5"/>
        <w:gridCol w:w="3725"/>
        <w:gridCol w:w="1419"/>
        <w:gridCol w:w="1620"/>
      </w:tblGrid>
      <w:tr w14:paraId="32989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765" w:type="dxa"/>
            <w:tcBorders>
              <w:top w:val="single" w:color="000000" w:sz="10" w:space="0"/>
              <w:left w:val="single" w:color="000000" w:sz="10" w:space="0"/>
            </w:tcBorders>
            <w:vAlign w:val="top"/>
          </w:tcPr>
          <w:p w14:paraId="47A8F55C">
            <w:pPr>
              <w:spacing w:before="122" w:line="220" w:lineRule="auto"/>
              <w:ind w:left="142"/>
              <w:rPr>
                <w:rFonts w:ascii="宋体" w:hAnsi="宋体" w:eastAsia="宋体" w:cs="宋体"/>
                <w:sz w:val="22"/>
                <w:szCs w:val="22"/>
              </w:rPr>
            </w:pPr>
            <w:r>
              <w:rPr>
                <w:rFonts w:ascii="宋体" w:hAnsi="宋体" w:eastAsia="宋体" w:cs="宋体"/>
                <w:spacing w:val="-7"/>
                <w:sz w:val="22"/>
                <w:szCs w:val="22"/>
              </w:rPr>
              <w:t>自然保护地类型</w:t>
            </w:r>
          </w:p>
        </w:tc>
        <w:tc>
          <w:tcPr>
            <w:tcW w:w="3725" w:type="dxa"/>
            <w:tcBorders>
              <w:top w:val="single" w:color="000000" w:sz="10" w:space="0"/>
            </w:tcBorders>
            <w:vAlign w:val="top"/>
          </w:tcPr>
          <w:p w14:paraId="12D9986A">
            <w:pPr>
              <w:spacing w:before="122" w:line="221" w:lineRule="auto"/>
              <w:ind w:left="1133"/>
              <w:rPr>
                <w:rFonts w:ascii="宋体" w:hAnsi="宋体" w:eastAsia="宋体" w:cs="宋体"/>
                <w:sz w:val="22"/>
                <w:szCs w:val="22"/>
              </w:rPr>
            </w:pPr>
            <w:r>
              <w:rPr>
                <w:rFonts w:ascii="宋体" w:hAnsi="宋体" w:eastAsia="宋体" w:cs="宋体"/>
                <w:spacing w:val="-7"/>
                <w:sz w:val="22"/>
                <w:szCs w:val="22"/>
              </w:rPr>
              <w:t>自然保护地名称</w:t>
            </w:r>
          </w:p>
        </w:tc>
        <w:tc>
          <w:tcPr>
            <w:tcW w:w="1419" w:type="dxa"/>
            <w:tcBorders>
              <w:top w:val="single" w:color="000000" w:sz="10" w:space="0"/>
            </w:tcBorders>
            <w:vAlign w:val="top"/>
          </w:tcPr>
          <w:p w14:paraId="59E030CE">
            <w:pPr>
              <w:spacing w:before="122" w:line="221" w:lineRule="auto"/>
              <w:ind w:left="540"/>
              <w:rPr>
                <w:rFonts w:ascii="宋体" w:hAnsi="宋体" w:eastAsia="宋体" w:cs="宋体"/>
                <w:sz w:val="22"/>
                <w:szCs w:val="22"/>
              </w:rPr>
            </w:pPr>
            <w:r>
              <w:rPr>
                <w:rFonts w:ascii="宋体" w:hAnsi="宋体" w:eastAsia="宋体" w:cs="宋体"/>
                <w:spacing w:val="-5"/>
                <w:sz w:val="22"/>
                <w:szCs w:val="22"/>
              </w:rPr>
              <w:t>分区</w:t>
            </w:r>
          </w:p>
        </w:tc>
        <w:tc>
          <w:tcPr>
            <w:tcW w:w="1620" w:type="dxa"/>
            <w:tcBorders>
              <w:top w:val="single" w:color="000000" w:sz="10" w:space="0"/>
              <w:right w:val="single" w:color="000000" w:sz="10" w:space="0"/>
            </w:tcBorders>
            <w:vAlign w:val="top"/>
          </w:tcPr>
          <w:p w14:paraId="0C9AE515">
            <w:pPr>
              <w:spacing w:before="122" w:line="221" w:lineRule="auto"/>
              <w:ind w:left="124"/>
              <w:rPr>
                <w:rFonts w:ascii="宋体" w:hAnsi="宋体" w:eastAsia="宋体" w:cs="宋体"/>
                <w:sz w:val="22"/>
                <w:szCs w:val="22"/>
              </w:rPr>
            </w:pPr>
            <w:r>
              <w:rPr>
                <w:rFonts w:ascii="宋体" w:hAnsi="宋体" w:eastAsia="宋体" w:cs="宋体"/>
                <w:spacing w:val="-2"/>
                <w:sz w:val="22"/>
                <w:szCs w:val="22"/>
              </w:rPr>
              <w:t>面积（公顷）</w:t>
            </w:r>
          </w:p>
        </w:tc>
      </w:tr>
      <w:tr w14:paraId="16D84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765" w:type="dxa"/>
            <w:vMerge w:val="restart"/>
            <w:tcBorders>
              <w:left w:val="single" w:color="000000" w:sz="10" w:space="0"/>
            </w:tcBorders>
            <w:vAlign w:val="top"/>
          </w:tcPr>
          <w:p w14:paraId="60ED7B99">
            <w:pPr>
              <w:spacing w:before="123" w:line="480" w:lineRule="auto"/>
              <w:jc w:val="center"/>
              <w:rPr>
                <w:rFonts w:ascii="宋体" w:hAnsi="宋体" w:eastAsia="宋体" w:cs="宋体"/>
                <w:spacing w:val="-2"/>
                <w:sz w:val="22"/>
                <w:szCs w:val="22"/>
              </w:rPr>
            </w:pPr>
            <w:r>
              <w:rPr>
                <w:rFonts w:ascii="宋体" w:hAnsi="宋体" w:eastAsia="宋体" w:cs="宋体"/>
                <w:spacing w:val="-2"/>
                <w:sz w:val="22"/>
                <w:szCs w:val="22"/>
              </w:rPr>
              <w:t>森林公园</w:t>
            </w:r>
          </w:p>
        </w:tc>
        <w:tc>
          <w:tcPr>
            <w:tcW w:w="3725" w:type="dxa"/>
            <w:vAlign w:val="top"/>
          </w:tcPr>
          <w:p w14:paraId="3DDD6438">
            <w:pPr>
              <w:spacing w:before="123" w:line="220" w:lineRule="auto"/>
              <w:ind w:left="222"/>
              <w:jc w:val="center"/>
              <w:rPr>
                <w:rFonts w:ascii="宋体" w:hAnsi="宋体" w:eastAsia="宋体" w:cs="宋体"/>
                <w:sz w:val="22"/>
                <w:szCs w:val="22"/>
              </w:rPr>
            </w:pPr>
            <w:r>
              <w:rPr>
                <w:rFonts w:hint="eastAsia" w:ascii="宋体" w:hAnsi="宋体" w:eastAsia="宋体" w:cs="宋体"/>
                <w:sz w:val="22"/>
                <w:szCs w:val="22"/>
              </w:rPr>
              <w:t>黑龙江溪水国家森林公园</w:t>
            </w:r>
          </w:p>
        </w:tc>
        <w:tc>
          <w:tcPr>
            <w:tcW w:w="1419" w:type="dxa"/>
            <w:vAlign w:val="top"/>
          </w:tcPr>
          <w:p w14:paraId="1EFE8B14">
            <w:pPr>
              <w:spacing w:before="123" w:line="221" w:lineRule="auto"/>
              <w:ind w:left="211"/>
              <w:rPr>
                <w:rFonts w:ascii="宋体" w:hAnsi="宋体" w:eastAsia="宋体" w:cs="宋体"/>
                <w:sz w:val="22"/>
                <w:szCs w:val="22"/>
              </w:rPr>
            </w:pPr>
            <w:r>
              <w:rPr>
                <w:rFonts w:ascii="宋体" w:hAnsi="宋体" w:eastAsia="宋体" w:cs="宋体"/>
                <w:spacing w:val="-2"/>
                <w:sz w:val="22"/>
                <w:szCs w:val="22"/>
              </w:rPr>
              <w:t>核心保护区</w:t>
            </w:r>
          </w:p>
        </w:tc>
        <w:tc>
          <w:tcPr>
            <w:tcW w:w="1620" w:type="dxa"/>
            <w:tcBorders>
              <w:right w:val="single" w:color="000000" w:sz="10" w:space="0"/>
            </w:tcBorders>
            <w:vAlign w:val="top"/>
          </w:tcPr>
          <w:p w14:paraId="58192D63">
            <w:pPr>
              <w:pStyle w:val="33"/>
              <w:spacing w:before="159" w:line="189" w:lineRule="auto"/>
              <w:jc w:val="center"/>
              <w:rPr>
                <w:rFonts w:hint="default" w:eastAsia="宋体"/>
                <w:lang w:val="en-US" w:eastAsia="zh-CN"/>
              </w:rPr>
            </w:pPr>
            <w:r>
              <w:rPr>
                <w:rFonts w:hint="eastAsia" w:eastAsia="宋体"/>
                <w:lang w:val="en-US" w:eastAsia="zh-CN"/>
              </w:rPr>
              <w:t>8655.9663</w:t>
            </w:r>
          </w:p>
        </w:tc>
      </w:tr>
      <w:tr w14:paraId="2B615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765" w:type="dxa"/>
            <w:vMerge w:val="continue"/>
            <w:tcBorders>
              <w:left w:val="single" w:color="000000" w:sz="10" w:space="0"/>
            </w:tcBorders>
            <w:vAlign w:val="top"/>
          </w:tcPr>
          <w:p w14:paraId="0553D741">
            <w:pPr>
              <w:spacing w:before="123" w:line="220" w:lineRule="auto"/>
              <w:ind w:left="435"/>
              <w:rPr>
                <w:rFonts w:ascii="宋体" w:hAnsi="宋体" w:eastAsia="宋体" w:cs="宋体"/>
                <w:spacing w:val="-2"/>
                <w:sz w:val="22"/>
                <w:szCs w:val="22"/>
              </w:rPr>
            </w:pPr>
          </w:p>
        </w:tc>
        <w:tc>
          <w:tcPr>
            <w:tcW w:w="3725" w:type="dxa"/>
            <w:vAlign w:val="top"/>
          </w:tcPr>
          <w:p w14:paraId="0DDBC674">
            <w:pPr>
              <w:spacing w:before="123" w:line="220" w:lineRule="auto"/>
              <w:ind w:left="222"/>
              <w:jc w:val="center"/>
              <w:rPr>
                <w:rFonts w:hint="eastAsia" w:ascii="宋体" w:hAnsi="宋体" w:eastAsia="宋体" w:cs="宋体"/>
                <w:spacing w:val="-1"/>
                <w:sz w:val="22"/>
                <w:szCs w:val="22"/>
              </w:rPr>
            </w:pPr>
            <w:r>
              <w:rPr>
                <w:rFonts w:hint="eastAsia" w:ascii="宋体" w:hAnsi="宋体" w:eastAsia="宋体" w:cs="宋体"/>
                <w:spacing w:val="-1"/>
                <w:sz w:val="22"/>
                <w:szCs w:val="22"/>
              </w:rPr>
              <w:t>黑龙江乌马河国家森林公园</w:t>
            </w:r>
          </w:p>
        </w:tc>
        <w:tc>
          <w:tcPr>
            <w:tcW w:w="1419" w:type="dxa"/>
            <w:vAlign w:val="top"/>
          </w:tcPr>
          <w:p w14:paraId="2FFA5D1C">
            <w:pPr>
              <w:spacing w:before="123" w:line="221" w:lineRule="auto"/>
              <w:ind w:left="211"/>
              <w:rPr>
                <w:rFonts w:ascii="宋体" w:hAnsi="宋体" w:eastAsia="宋体" w:cs="宋体"/>
                <w:spacing w:val="-2"/>
                <w:sz w:val="22"/>
                <w:szCs w:val="22"/>
              </w:rPr>
            </w:pPr>
            <w:r>
              <w:rPr>
                <w:rFonts w:ascii="宋体" w:hAnsi="宋体" w:eastAsia="宋体" w:cs="宋体"/>
                <w:spacing w:val="-2"/>
                <w:sz w:val="22"/>
                <w:szCs w:val="22"/>
              </w:rPr>
              <w:t>核心保护区</w:t>
            </w:r>
          </w:p>
        </w:tc>
        <w:tc>
          <w:tcPr>
            <w:tcW w:w="1620" w:type="dxa"/>
            <w:tcBorders>
              <w:right w:val="single" w:color="000000" w:sz="10" w:space="0"/>
            </w:tcBorders>
            <w:vAlign w:val="top"/>
          </w:tcPr>
          <w:p w14:paraId="17C91A96">
            <w:pPr>
              <w:pStyle w:val="33"/>
              <w:spacing w:before="159" w:line="189" w:lineRule="auto"/>
              <w:jc w:val="center"/>
              <w:rPr>
                <w:rFonts w:hint="default" w:eastAsia="宋体"/>
                <w:lang w:val="en-US" w:eastAsia="zh-CN"/>
              </w:rPr>
            </w:pPr>
            <w:r>
              <w:rPr>
                <w:rFonts w:hint="eastAsia" w:eastAsia="宋体"/>
                <w:lang w:val="en-US" w:eastAsia="zh-CN"/>
              </w:rPr>
              <w:t>1.0334</w:t>
            </w:r>
          </w:p>
        </w:tc>
      </w:tr>
      <w:tr w14:paraId="00451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765" w:type="dxa"/>
            <w:vMerge w:val="restart"/>
            <w:tcBorders>
              <w:left w:val="single" w:color="000000" w:sz="10" w:space="0"/>
            </w:tcBorders>
            <w:vAlign w:val="top"/>
          </w:tcPr>
          <w:p w14:paraId="5A55C768">
            <w:pPr>
              <w:spacing w:before="128" w:line="480" w:lineRule="auto"/>
              <w:jc w:val="center"/>
              <w:rPr>
                <w:rFonts w:ascii="宋体" w:hAnsi="宋体" w:eastAsia="宋体" w:cs="宋体"/>
                <w:sz w:val="22"/>
                <w:szCs w:val="22"/>
              </w:rPr>
            </w:pPr>
            <w:r>
              <w:rPr>
                <w:rFonts w:ascii="宋体" w:hAnsi="宋体" w:eastAsia="宋体" w:cs="宋体"/>
                <w:spacing w:val="-9"/>
                <w:sz w:val="22"/>
                <w:szCs w:val="22"/>
              </w:rPr>
              <w:t>自然保护区</w:t>
            </w:r>
          </w:p>
        </w:tc>
        <w:tc>
          <w:tcPr>
            <w:tcW w:w="3725" w:type="dxa"/>
            <w:vAlign w:val="top"/>
          </w:tcPr>
          <w:p w14:paraId="20BAC7FF">
            <w:pPr>
              <w:spacing w:before="128" w:line="220" w:lineRule="auto"/>
              <w:ind w:left="111"/>
              <w:jc w:val="center"/>
              <w:rPr>
                <w:rFonts w:ascii="宋体" w:hAnsi="宋体" w:eastAsia="宋体" w:cs="宋体"/>
                <w:sz w:val="22"/>
                <w:szCs w:val="22"/>
              </w:rPr>
            </w:pPr>
            <w:r>
              <w:rPr>
                <w:rFonts w:hint="eastAsia" w:ascii="宋体" w:hAnsi="宋体" w:eastAsia="宋体" w:cs="宋体"/>
                <w:sz w:val="22"/>
                <w:szCs w:val="22"/>
              </w:rPr>
              <w:t>黑龙江友好国家级自然保护区</w:t>
            </w:r>
          </w:p>
        </w:tc>
        <w:tc>
          <w:tcPr>
            <w:tcW w:w="1419" w:type="dxa"/>
            <w:vAlign w:val="top"/>
          </w:tcPr>
          <w:p w14:paraId="5E846AE9">
            <w:pPr>
              <w:spacing w:before="128" w:line="221" w:lineRule="auto"/>
              <w:ind w:left="211"/>
              <w:rPr>
                <w:rFonts w:ascii="宋体" w:hAnsi="宋体" w:eastAsia="宋体" w:cs="宋体"/>
                <w:sz w:val="22"/>
                <w:szCs w:val="22"/>
              </w:rPr>
            </w:pPr>
            <w:r>
              <w:rPr>
                <w:rFonts w:ascii="宋体" w:hAnsi="宋体" w:eastAsia="宋体" w:cs="宋体"/>
                <w:spacing w:val="-2"/>
                <w:sz w:val="22"/>
                <w:szCs w:val="22"/>
              </w:rPr>
              <w:t>核心保护区</w:t>
            </w:r>
          </w:p>
        </w:tc>
        <w:tc>
          <w:tcPr>
            <w:tcW w:w="1620" w:type="dxa"/>
            <w:tcBorders>
              <w:right w:val="single" w:color="000000" w:sz="10" w:space="0"/>
            </w:tcBorders>
            <w:vAlign w:val="top"/>
          </w:tcPr>
          <w:p w14:paraId="02359D81">
            <w:pPr>
              <w:pStyle w:val="33"/>
              <w:spacing w:before="166" w:line="189" w:lineRule="auto"/>
              <w:jc w:val="center"/>
              <w:rPr>
                <w:rFonts w:hint="default" w:eastAsia="宋体"/>
                <w:lang w:val="en-US" w:eastAsia="zh-CN"/>
              </w:rPr>
            </w:pPr>
            <w:r>
              <w:rPr>
                <w:rFonts w:hint="eastAsia" w:eastAsia="宋体"/>
                <w:lang w:val="en-US" w:eastAsia="zh-CN"/>
              </w:rPr>
              <w:t>14485.5698</w:t>
            </w:r>
          </w:p>
        </w:tc>
      </w:tr>
      <w:tr w14:paraId="2D49E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765" w:type="dxa"/>
            <w:vMerge w:val="continue"/>
            <w:tcBorders>
              <w:left w:val="single" w:color="000000" w:sz="10" w:space="0"/>
            </w:tcBorders>
            <w:vAlign w:val="top"/>
          </w:tcPr>
          <w:p w14:paraId="5F281EDF">
            <w:pPr>
              <w:spacing w:before="128" w:line="221" w:lineRule="auto"/>
              <w:ind w:left="361"/>
              <w:rPr>
                <w:rFonts w:ascii="宋体" w:hAnsi="宋体" w:eastAsia="宋体" w:cs="宋体"/>
                <w:spacing w:val="-9"/>
                <w:sz w:val="22"/>
                <w:szCs w:val="22"/>
              </w:rPr>
            </w:pPr>
          </w:p>
        </w:tc>
        <w:tc>
          <w:tcPr>
            <w:tcW w:w="3725" w:type="dxa"/>
            <w:vAlign w:val="top"/>
          </w:tcPr>
          <w:p w14:paraId="6E58E7F7">
            <w:pPr>
              <w:spacing w:before="128" w:line="220" w:lineRule="auto"/>
              <w:ind w:left="111"/>
              <w:jc w:val="center"/>
              <w:rPr>
                <w:rFonts w:hint="eastAsia" w:ascii="宋体" w:hAnsi="宋体" w:eastAsia="宋体" w:cs="宋体"/>
                <w:sz w:val="22"/>
                <w:szCs w:val="22"/>
              </w:rPr>
            </w:pPr>
            <w:r>
              <w:rPr>
                <w:rFonts w:hint="eastAsia" w:ascii="宋体" w:hAnsi="宋体" w:eastAsia="宋体" w:cs="宋体"/>
                <w:sz w:val="22"/>
                <w:szCs w:val="22"/>
              </w:rPr>
              <w:t>黑龙江丰林国家级自然保护区</w:t>
            </w:r>
          </w:p>
        </w:tc>
        <w:tc>
          <w:tcPr>
            <w:tcW w:w="1419" w:type="dxa"/>
            <w:vAlign w:val="top"/>
          </w:tcPr>
          <w:p w14:paraId="13509FFA">
            <w:pPr>
              <w:spacing w:before="128" w:line="221" w:lineRule="auto"/>
              <w:ind w:left="211"/>
              <w:rPr>
                <w:rFonts w:ascii="宋体" w:hAnsi="宋体" w:eastAsia="宋体" w:cs="宋体"/>
                <w:spacing w:val="-2"/>
                <w:sz w:val="22"/>
                <w:szCs w:val="22"/>
              </w:rPr>
            </w:pPr>
            <w:r>
              <w:rPr>
                <w:rFonts w:ascii="宋体" w:hAnsi="宋体" w:eastAsia="宋体" w:cs="宋体"/>
                <w:spacing w:val="-2"/>
                <w:sz w:val="22"/>
                <w:szCs w:val="22"/>
              </w:rPr>
              <w:t>核心保护区</w:t>
            </w:r>
          </w:p>
        </w:tc>
        <w:tc>
          <w:tcPr>
            <w:tcW w:w="1620" w:type="dxa"/>
            <w:tcBorders>
              <w:right w:val="single" w:color="000000" w:sz="10" w:space="0"/>
            </w:tcBorders>
            <w:vAlign w:val="top"/>
          </w:tcPr>
          <w:p w14:paraId="194EFEF1">
            <w:pPr>
              <w:pStyle w:val="33"/>
              <w:spacing w:before="166" w:line="189" w:lineRule="auto"/>
              <w:jc w:val="center"/>
              <w:rPr>
                <w:rFonts w:hint="default" w:eastAsia="宋体"/>
                <w:lang w:val="en-US" w:eastAsia="zh-CN"/>
              </w:rPr>
            </w:pPr>
            <w:r>
              <w:rPr>
                <w:rFonts w:hint="eastAsia" w:eastAsia="宋体"/>
                <w:lang w:val="en-US" w:eastAsia="zh-CN"/>
              </w:rPr>
              <w:t>4.2454</w:t>
            </w:r>
          </w:p>
        </w:tc>
      </w:tr>
      <w:tr w14:paraId="0913B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6909" w:type="dxa"/>
            <w:gridSpan w:val="3"/>
            <w:tcBorders>
              <w:left w:val="single" w:color="000000" w:sz="10" w:space="0"/>
              <w:bottom w:val="single" w:color="000000" w:sz="10" w:space="0"/>
            </w:tcBorders>
            <w:vAlign w:val="top"/>
          </w:tcPr>
          <w:p w14:paraId="525CFBEE">
            <w:pPr>
              <w:spacing w:before="135" w:line="222" w:lineRule="auto"/>
              <w:ind w:left="3273"/>
              <w:rPr>
                <w:rFonts w:ascii="宋体" w:hAnsi="宋体" w:eastAsia="宋体" w:cs="宋体"/>
                <w:sz w:val="22"/>
                <w:szCs w:val="22"/>
              </w:rPr>
            </w:pPr>
            <w:r>
              <w:rPr>
                <w:rFonts w:ascii="宋体" w:hAnsi="宋体" w:eastAsia="宋体" w:cs="宋体"/>
                <w:spacing w:val="-4"/>
                <w:sz w:val="22"/>
                <w:szCs w:val="22"/>
              </w:rPr>
              <w:t>合计</w:t>
            </w:r>
          </w:p>
        </w:tc>
        <w:tc>
          <w:tcPr>
            <w:tcW w:w="1620" w:type="dxa"/>
            <w:tcBorders>
              <w:bottom w:val="single" w:color="000000" w:sz="10" w:space="0"/>
              <w:right w:val="single" w:color="000000" w:sz="10" w:space="0"/>
            </w:tcBorders>
            <w:vAlign w:val="top"/>
          </w:tcPr>
          <w:p w14:paraId="65441337">
            <w:pPr>
              <w:pStyle w:val="33"/>
              <w:spacing w:before="171" w:line="189" w:lineRule="auto"/>
              <w:ind w:left="317"/>
              <w:rPr>
                <w:rFonts w:hint="default" w:eastAsia="宋体"/>
                <w:lang w:val="en-US" w:eastAsia="zh-CN"/>
              </w:rPr>
            </w:pPr>
            <w:r>
              <w:rPr>
                <w:rFonts w:hint="default" w:eastAsia="宋体"/>
                <w:lang w:val="en-US" w:eastAsia="zh-CN"/>
              </w:rPr>
              <w:t>23146.8149</w:t>
            </w:r>
          </w:p>
        </w:tc>
      </w:tr>
    </w:tbl>
    <w:p w14:paraId="70F702C4">
      <w:pPr>
        <w:pStyle w:val="11"/>
        <w:ind w:leftChars="0" w:firstLine="560" w:firstLineChars="200"/>
        <w:jc w:val="both"/>
        <w:rPr>
          <w:rFonts w:hint="eastAsia" w:ascii="Times New Roman" w:hAnsi="Times New Roman" w:eastAsia="宋体" w:cs="Times New Roman"/>
          <w:color w:val="auto"/>
          <w:sz w:val="28"/>
          <w:szCs w:val="28"/>
          <w:lang w:eastAsia="zh-CN"/>
        </w:rPr>
      </w:pPr>
      <w:r>
        <w:rPr>
          <w:rFonts w:ascii="Times New Roman" w:hAnsi="Times New Roman" w:eastAsia="宋体" w:cs="Times New Roman"/>
          <w:color w:val="auto"/>
          <w:sz w:val="28"/>
          <w:szCs w:val="28"/>
        </w:rPr>
        <w:t>自然保护地核心保护区按类型分</w:t>
      </w:r>
      <w:r>
        <w:rPr>
          <w:rFonts w:hint="eastAsia" w:ascii="Times New Roman" w:hAnsi="Times New Roman" w:eastAsia="宋体" w:cs="Times New Roman"/>
          <w:color w:val="auto"/>
          <w:sz w:val="28"/>
          <w:szCs w:val="28"/>
          <w:lang w:val="en-US" w:eastAsia="zh-CN"/>
        </w:rPr>
        <w:t>为</w:t>
      </w:r>
      <w:r>
        <w:rPr>
          <w:rFonts w:ascii="Times New Roman" w:hAnsi="Times New Roman" w:eastAsia="宋体" w:cs="Times New Roman"/>
          <w:color w:val="auto"/>
          <w:sz w:val="28"/>
          <w:szCs w:val="28"/>
        </w:rPr>
        <w:t>水土保持核心保护区、水源涵养核心保护区、生物多样性维护核心保护区</w:t>
      </w:r>
      <w:r>
        <w:rPr>
          <w:rFonts w:hint="eastAsia" w:ascii="Times New Roman" w:hAnsi="Times New Roman" w:eastAsia="宋体" w:cs="Times New Roman"/>
          <w:color w:val="auto"/>
          <w:sz w:val="28"/>
          <w:szCs w:val="28"/>
          <w:lang w:eastAsia="zh-CN"/>
        </w:rPr>
        <w:t>。</w:t>
      </w:r>
    </w:p>
    <w:p w14:paraId="3454D041">
      <w:pPr>
        <w:pStyle w:val="6"/>
        <w:numPr>
          <w:ilvl w:val="0"/>
          <w:numId w:val="29"/>
        </w:numPr>
        <w:topLinePunct w:val="0"/>
        <w:ind w:left="0" w:leftChars="0" w:firstLine="560" w:firstLineChars="200"/>
        <w:jc w:val="both"/>
        <w:rPr>
          <w:rFonts w:hint="eastAsia" w:ascii="黑体" w:hAnsi="黑体" w:eastAsia="黑体" w:cs="黑体"/>
          <w:b w:val="0"/>
        </w:rPr>
      </w:pPr>
      <w:r>
        <w:t>水土保持核心保护区</w:t>
      </w:r>
    </w:p>
    <w:p w14:paraId="65638AD4">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水土保持区结合县域自然特征划定，通过政策管控、工程治理与生态修复手段，预防和治理水土流失的功能性区域，其内涵聚焦“针对性保护 ”与“系统性治理 ”的结合。核心是构建“预防—治理—修复 ”三位一体的水土保持体系，同时协调农业生产与生态保护，避免土壤流失与河道淤积。根据</w:t>
      </w:r>
      <w:r>
        <w:rPr>
          <w:rFonts w:hint="eastAsia" w:cs="Times New Roman"/>
          <w:sz w:val="28"/>
          <w:szCs w:val="28"/>
          <w:lang w:eastAsia="zh-CN"/>
        </w:rPr>
        <w:t>友好区</w:t>
      </w:r>
      <w:r>
        <w:rPr>
          <w:rFonts w:ascii="Times New Roman" w:hAnsi="Times New Roman" w:eastAsia="宋体" w:cs="Times New Roman"/>
          <w:sz w:val="28"/>
          <w:szCs w:val="28"/>
        </w:rPr>
        <w:t>生态保护红线可知，水土保持核心区面积</w:t>
      </w:r>
      <w:r>
        <w:rPr>
          <w:rFonts w:hint="eastAsia" w:cs="Times New Roman"/>
          <w:sz w:val="28"/>
          <w:szCs w:val="28"/>
          <w:lang w:val="en-US" w:eastAsia="zh-CN"/>
        </w:rPr>
        <w:t>1.0334</w:t>
      </w:r>
      <w:r>
        <w:rPr>
          <w:rFonts w:ascii="Times New Roman" w:hAnsi="Times New Roman" w:eastAsia="宋体" w:cs="Times New Roman"/>
          <w:sz w:val="28"/>
          <w:szCs w:val="28"/>
        </w:rPr>
        <w:t>公顷。</w:t>
      </w:r>
    </w:p>
    <w:p w14:paraId="327B57A9">
      <w:pPr>
        <w:pStyle w:val="6"/>
        <w:numPr>
          <w:ilvl w:val="0"/>
          <w:numId w:val="29"/>
        </w:numPr>
        <w:topLinePunct w:val="0"/>
        <w:ind w:left="0" w:leftChars="0" w:firstLine="560" w:firstLineChars="200"/>
        <w:jc w:val="both"/>
        <w:rPr>
          <w:rFonts w:hint="eastAsia" w:ascii="黑体" w:hAnsi="黑体" w:eastAsia="黑体" w:cs="黑体"/>
          <w:b w:val="0"/>
        </w:rPr>
      </w:pPr>
      <w:r>
        <w:t>水源涵养核心保护区</w:t>
      </w:r>
    </w:p>
    <w:p w14:paraId="1F78F052">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水源涵养是为了保障区域或流域水资源供给能力、调节水文循环、减少水土流失，在具有重要水源涵养功能的生态区域划定的严格保护边界。根据</w:t>
      </w:r>
      <w:r>
        <w:rPr>
          <w:rFonts w:hint="eastAsia" w:cs="Times New Roman"/>
          <w:sz w:val="28"/>
          <w:szCs w:val="28"/>
          <w:lang w:eastAsia="zh-CN"/>
        </w:rPr>
        <w:t>友好区</w:t>
      </w:r>
      <w:r>
        <w:rPr>
          <w:rFonts w:ascii="Times New Roman" w:hAnsi="Times New Roman" w:eastAsia="宋体" w:cs="Times New Roman"/>
          <w:sz w:val="28"/>
          <w:szCs w:val="28"/>
        </w:rPr>
        <w:t>生态保护红线可知，水源涵养核心区面积</w:t>
      </w:r>
      <w:r>
        <w:rPr>
          <w:rFonts w:hint="eastAsia" w:cs="Times New Roman"/>
          <w:sz w:val="28"/>
          <w:szCs w:val="28"/>
          <w:lang w:val="en-US" w:eastAsia="zh-CN"/>
        </w:rPr>
        <w:t>14489.2794</w:t>
      </w:r>
      <w:r>
        <w:rPr>
          <w:rFonts w:ascii="Times New Roman" w:hAnsi="Times New Roman" w:eastAsia="宋体" w:cs="Times New Roman"/>
          <w:sz w:val="28"/>
          <w:szCs w:val="28"/>
        </w:rPr>
        <w:t>公顷。</w:t>
      </w:r>
    </w:p>
    <w:p w14:paraId="063D608E">
      <w:pPr>
        <w:pStyle w:val="6"/>
        <w:numPr>
          <w:ilvl w:val="0"/>
          <w:numId w:val="29"/>
        </w:numPr>
        <w:topLinePunct w:val="0"/>
        <w:ind w:left="0" w:leftChars="0" w:firstLine="560" w:firstLineChars="200"/>
        <w:jc w:val="both"/>
        <w:rPr>
          <w:rFonts w:hint="eastAsia" w:ascii="黑体" w:hAnsi="黑体" w:eastAsia="黑体" w:cs="黑体"/>
          <w:b w:val="0"/>
        </w:rPr>
      </w:pPr>
      <w:r>
        <w:t>生物多样性维护核心保护区</w:t>
      </w:r>
    </w:p>
    <w:p w14:paraId="46D621EB">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生态保护红线可知，生物多样性维护核心区面积</w:t>
      </w:r>
      <w:r>
        <w:rPr>
          <w:rFonts w:hint="eastAsia" w:cs="Times New Roman"/>
          <w:sz w:val="28"/>
          <w:szCs w:val="28"/>
          <w:lang w:val="en-US" w:eastAsia="zh-CN"/>
        </w:rPr>
        <w:t>8656.5021</w:t>
      </w:r>
      <w:r>
        <w:rPr>
          <w:rFonts w:ascii="Times New Roman" w:hAnsi="Times New Roman" w:eastAsia="宋体" w:cs="Times New Roman"/>
          <w:sz w:val="28"/>
          <w:szCs w:val="28"/>
        </w:rPr>
        <w:t>公顷。</w:t>
      </w:r>
    </w:p>
    <w:p w14:paraId="2AB60888">
      <w:pPr>
        <w:pStyle w:val="11"/>
        <w:ind w:leftChars="0" w:firstLine="464" w:firstLineChars="200"/>
        <w:jc w:val="center"/>
        <w:rPr>
          <w:rFonts w:hint="eastAsia" w:ascii="黑体" w:hAnsi="黑体" w:eastAsia="黑体" w:cs="黑体"/>
          <w:spacing w:val="-4"/>
          <w:kern w:val="2"/>
          <w:sz w:val="24"/>
          <w:szCs w:val="24"/>
          <w:lang w:val="en-US" w:eastAsia="zh-CN" w:bidi="ar-SA"/>
        </w:rPr>
      </w:pPr>
      <w:r>
        <w:rPr>
          <w:rFonts w:hint="eastAsia" w:ascii="黑体" w:hAnsi="黑体" w:eastAsia="黑体" w:cs="黑体"/>
          <w:spacing w:val="-4"/>
          <w:kern w:val="2"/>
          <w:sz w:val="24"/>
          <w:szCs w:val="24"/>
          <w:lang w:val="en-US" w:eastAsia="zh-CN" w:bidi="ar-SA"/>
        </w:rPr>
        <w:t>表3-7 友好区生态保护红线类型核心保护区面积统计表</w:t>
      </w:r>
    </w:p>
    <w:tbl>
      <w:tblPr>
        <w:tblStyle w:val="21"/>
        <w:tblW w:w="7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40"/>
        <w:gridCol w:w="2644"/>
        <w:gridCol w:w="2554"/>
      </w:tblGrid>
      <w:tr w14:paraId="3B4D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0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生态保护红线类型</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C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6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r>
      <w:tr w14:paraId="1176B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F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水土保持</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A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核心保护区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0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1.0334</w:t>
            </w:r>
          </w:p>
        </w:tc>
      </w:tr>
      <w:tr w14:paraId="7AE5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C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水源涵养</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9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核心保护区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5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14489.2794</w:t>
            </w:r>
          </w:p>
        </w:tc>
      </w:tr>
      <w:tr w14:paraId="458B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5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生物多样性维护</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C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核心保护区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BD9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8656.502</w:t>
            </w:r>
            <w:r>
              <w:rPr>
                <w:rFonts w:hint="eastAsia" w:ascii="宋体" w:hAnsi="宋体" w:cs="宋体"/>
                <w:i w:val="0"/>
                <w:iCs w:val="0"/>
                <w:color w:val="000000"/>
                <w:sz w:val="22"/>
                <w:szCs w:val="22"/>
                <w:u w:val="none"/>
                <w:lang w:val="en-US" w:eastAsia="zh-CN"/>
              </w:rPr>
              <w:t>1</w:t>
            </w:r>
          </w:p>
        </w:tc>
      </w:tr>
      <w:tr w14:paraId="76C4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51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9B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5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23146.8149</w:t>
            </w:r>
          </w:p>
        </w:tc>
      </w:tr>
    </w:tbl>
    <w:p w14:paraId="12582DA0">
      <w:pPr>
        <w:pStyle w:val="11"/>
        <w:ind w:left="0"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将生态保护红线（自然保护地核心保护区）内的水域滩涂划为禁养区，面积为</w:t>
      </w:r>
      <w:r>
        <w:rPr>
          <w:rFonts w:hint="eastAsia" w:ascii="Times New Roman" w:hAnsi="Times New Roman" w:eastAsia="宋体" w:cs="Times New Roman"/>
          <w:sz w:val="28"/>
          <w:szCs w:val="28"/>
          <w:lang w:val="en-US" w:eastAsia="zh-CN"/>
        </w:rPr>
        <w:t>52.9831</w:t>
      </w:r>
      <w:r>
        <w:rPr>
          <w:rFonts w:ascii="Times New Roman" w:hAnsi="Times New Roman" w:eastAsia="宋体" w:cs="Times New Roman"/>
          <w:sz w:val="28"/>
          <w:szCs w:val="28"/>
        </w:rPr>
        <w:t>公顷。</w:t>
      </w:r>
    </w:p>
    <w:p w14:paraId="70AEA5C3">
      <w:pPr>
        <w:pStyle w:val="11"/>
        <w:ind w:left="0" w:leftChars="0" w:firstLine="0" w:firstLineChars="0"/>
        <w:jc w:val="center"/>
        <w:rPr>
          <w:rFonts w:hint="eastAsia" w:ascii="黑体" w:hAnsi="黑体" w:eastAsia="黑体" w:cs="黑体"/>
          <w:spacing w:val="-4"/>
          <w:kern w:val="2"/>
          <w:sz w:val="24"/>
          <w:szCs w:val="24"/>
          <w:lang w:val="en-US" w:eastAsia="zh-CN" w:bidi="ar-SA"/>
        </w:rPr>
      </w:pPr>
      <w:r>
        <w:rPr>
          <w:rFonts w:hint="eastAsia" w:ascii="黑体" w:hAnsi="黑体" w:eastAsia="黑体" w:cs="黑体"/>
          <w:spacing w:val="-4"/>
          <w:kern w:val="2"/>
          <w:sz w:val="24"/>
          <w:szCs w:val="24"/>
          <w:lang w:val="en-US" w:eastAsia="zh-CN" w:bidi="ar-SA"/>
        </w:rPr>
        <w:t>表3-8 友好区生态保护红线（自然保护地核心保护区）内水域滩涂禁养区面积统计表</w:t>
      </w:r>
    </w:p>
    <w:tbl>
      <w:tblPr>
        <w:tblStyle w:val="32"/>
        <w:tblW w:w="85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9"/>
        <w:gridCol w:w="2583"/>
        <w:gridCol w:w="3067"/>
      </w:tblGrid>
      <w:tr w14:paraId="59B5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2879" w:type="dxa"/>
            <w:tcBorders>
              <w:top w:val="single" w:color="000000" w:sz="10" w:space="0"/>
              <w:left w:val="single" w:color="000000" w:sz="10" w:space="0"/>
            </w:tcBorders>
            <w:vAlign w:val="top"/>
          </w:tcPr>
          <w:p w14:paraId="55C9A057">
            <w:pPr>
              <w:spacing w:before="91" w:line="220" w:lineRule="auto"/>
              <w:ind w:left="1213"/>
              <w:rPr>
                <w:rFonts w:ascii="宋体" w:hAnsi="宋体" w:eastAsia="宋体" w:cs="宋体"/>
                <w:sz w:val="22"/>
                <w:szCs w:val="22"/>
              </w:rPr>
            </w:pPr>
            <w:r>
              <w:rPr>
                <w:rFonts w:ascii="宋体" w:hAnsi="宋体" w:eastAsia="宋体" w:cs="宋体"/>
                <w:spacing w:val="-4"/>
                <w:sz w:val="22"/>
                <w:szCs w:val="22"/>
              </w:rPr>
              <w:t>类型</w:t>
            </w:r>
          </w:p>
        </w:tc>
        <w:tc>
          <w:tcPr>
            <w:tcW w:w="2583" w:type="dxa"/>
            <w:tcBorders>
              <w:top w:val="single" w:color="000000" w:sz="10" w:space="0"/>
            </w:tcBorders>
            <w:vAlign w:val="top"/>
          </w:tcPr>
          <w:p w14:paraId="086DC689">
            <w:pPr>
              <w:spacing w:before="91" w:line="220" w:lineRule="auto"/>
              <w:ind w:left="1077"/>
              <w:rPr>
                <w:rFonts w:ascii="宋体" w:hAnsi="宋体" w:eastAsia="宋体" w:cs="宋体"/>
                <w:sz w:val="22"/>
                <w:szCs w:val="22"/>
              </w:rPr>
            </w:pPr>
            <w:r>
              <w:rPr>
                <w:rFonts w:ascii="宋体" w:hAnsi="宋体" w:eastAsia="宋体" w:cs="宋体"/>
                <w:spacing w:val="-4"/>
                <w:sz w:val="22"/>
                <w:szCs w:val="22"/>
              </w:rPr>
              <w:t>地类</w:t>
            </w:r>
          </w:p>
        </w:tc>
        <w:tc>
          <w:tcPr>
            <w:tcW w:w="3067" w:type="dxa"/>
            <w:tcBorders>
              <w:top w:val="single" w:color="000000" w:sz="10" w:space="0"/>
              <w:right w:val="single" w:color="000000" w:sz="10" w:space="0"/>
            </w:tcBorders>
            <w:vAlign w:val="top"/>
          </w:tcPr>
          <w:p w14:paraId="449E45B2">
            <w:pPr>
              <w:spacing w:before="90" w:line="221" w:lineRule="auto"/>
              <w:ind w:left="881"/>
              <w:rPr>
                <w:rFonts w:ascii="宋体" w:hAnsi="宋体" w:eastAsia="宋体" w:cs="宋体"/>
                <w:sz w:val="22"/>
                <w:szCs w:val="22"/>
              </w:rPr>
            </w:pPr>
            <w:r>
              <w:rPr>
                <w:rFonts w:ascii="宋体" w:hAnsi="宋体" w:eastAsia="宋体" w:cs="宋体"/>
                <w:spacing w:val="-2"/>
                <w:sz w:val="22"/>
                <w:szCs w:val="22"/>
              </w:rPr>
              <w:t>面积（公顷）</w:t>
            </w:r>
          </w:p>
        </w:tc>
      </w:tr>
      <w:tr w14:paraId="7C4CE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2879" w:type="dxa"/>
            <w:vMerge w:val="restart"/>
            <w:tcBorders>
              <w:left w:val="single" w:color="000000" w:sz="10" w:space="0"/>
              <w:bottom w:val="nil"/>
            </w:tcBorders>
            <w:vAlign w:val="top"/>
          </w:tcPr>
          <w:p w14:paraId="047D37B7">
            <w:pPr>
              <w:spacing w:line="284" w:lineRule="auto"/>
              <w:rPr>
                <w:rFonts w:ascii="Arial"/>
                <w:sz w:val="21"/>
              </w:rPr>
            </w:pPr>
          </w:p>
          <w:p w14:paraId="78D8BE26">
            <w:pPr>
              <w:spacing w:before="72" w:line="221" w:lineRule="auto"/>
              <w:ind w:left="115"/>
              <w:rPr>
                <w:rFonts w:ascii="宋体" w:hAnsi="宋体" w:eastAsia="宋体" w:cs="宋体"/>
                <w:spacing w:val="-1"/>
                <w:sz w:val="22"/>
                <w:szCs w:val="22"/>
              </w:rPr>
            </w:pPr>
          </w:p>
          <w:p w14:paraId="07B3DC79">
            <w:pPr>
              <w:spacing w:before="72" w:line="221" w:lineRule="auto"/>
              <w:ind w:left="115"/>
              <w:rPr>
                <w:rFonts w:ascii="宋体" w:hAnsi="宋体" w:eastAsia="宋体" w:cs="宋体"/>
                <w:sz w:val="22"/>
                <w:szCs w:val="22"/>
              </w:rPr>
            </w:pPr>
            <w:r>
              <w:rPr>
                <w:rFonts w:ascii="宋体" w:hAnsi="宋体" w:eastAsia="宋体" w:cs="宋体"/>
                <w:spacing w:val="-1"/>
                <w:sz w:val="22"/>
                <w:szCs w:val="22"/>
              </w:rPr>
              <w:t>生态保护红线（自然保护地</w:t>
            </w:r>
          </w:p>
          <w:p w14:paraId="5FBF67F2">
            <w:pPr>
              <w:spacing w:before="22" w:line="221" w:lineRule="auto"/>
              <w:ind w:left="776"/>
              <w:rPr>
                <w:rFonts w:ascii="宋体" w:hAnsi="宋体" w:eastAsia="宋体" w:cs="宋体"/>
                <w:sz w:val="22"/>
                <w:szCs w:val="22"/>
              </w:rPr>
            </w:pPr>
            <w:r>
              <w:rPr>
                <w:rFonts w:ascii="宋体" w:hAnsi="宋体" w:eastAsia="宋体" w:cs="宋体"/>
                <w:spacing w:val="-2"/>
                <w:sz w:val="22"/>
                <w:szCs w:val="22"/>
              </w:rPr>
              <w:t>核心保护区）</w:t>
            </w:r>
          </w:p>
        </w:tc>
        <w:tc>
          <w:tcPr>
            <w:tcW w:w="2583" w:type="dxa"/>
            <w:vAlign w:val="top"/>
          </w:tcPr>
          <w:p w14:paraId="2672C9BC">
            <w:pPr>
              <w:spacing w:before="94" w:line="220" w:lineRule="auto"/>
              <w:ind w:left="856"/>
              <w:rPr>
                <w:rFonts w:ascii="宋体" w:hAnsi="宋体" w:eastAsia="宋体" w:cs="宋体"/>
                <w:sz w:val="22"/>
                <w:szCs w:val="22"/>
              </w:rPr>
            </w:pPr>
            <w:r>
              <w:rPr>
                <w:rFonts w:ascii="宋体" w:hAnsi="宋体" w:eastAsia="宋体" w:cs="宋体"/>
                <w:spacing w:val="-2"/>
                <w:sz w:val="22"/>
                <w:szCs w:val="22"/>
              </w:rPr>
              <w:t>坑塘水面</w:t>
            </w:r>
          </w:p>
        </w:tc>
        <w:tc>
          <w:tcPr>
            <w:tcW w:w="3067" w:type="dxa"/>
            <w:tcBorders>
              <w:right w:val="single" w:color="000000" w:sz="10" w:space="0"/>
            </w:tcBorders>
            <w:vAlign w:val="top"/>
          </w:tcPr>
          <w:p w14:paraId="5B196CD8">
            <w:pPr>
              <w:pStyle w:val="33"/>
              <w:spacing w:before="132" w:line="189" w:lineRule="auto"/>
              <w:ind w:left="1237"/>
              <w:rPr>
                <w:rFonts w:hint="default" w:eastAsia="宋体"/>
                <w:lang w:val="en-US" w:eastAsia="zh-CN"/>
              </w:rPr>
            </w:pPr>
            <w:r>
              <w:rPr>
                <w:rFonts w:hint="eastAsia" w:eastAsia="宋体"/>
                <w:lang w:val="en-US" w:eastAsia="zh-CN"/>
              </w:rPr>
              <w:t>18.1329</w:t>
            </w:r>
          </w:p>
        </w:tc>
      </w:tr>
      <w:tr w14:paraId="17847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2879" w:type="dxa"/>
            <w:vMerge w:val="continue"/>
            <w:tcBorders>
              <w:top w:val="nil"/>
              <w:left w:val="single" w:color="000000" w:sz="10" w:space="0"/>
              <w:bottom w:val="nil"/>
            </w:tcBorders>
            <w:vAlign w:val="top"/>
          </w:tcPr>
          <w:p w14:paraId="2FC80289">
            <w:pPr>
              <w:rPr>
                <w:rFonts w:ascii="Arial"/>
                <w:sz w:val="21"/>
              </w:rPr>
            </w:pPr>
          </w:p>
        </w:tc>
        <w:tc>
          <w:tcPr>
            <w:tcW w:w="2583" w:type="dxa"/>
            <w:vAlign w:val="top"/>
          </w:tcPr>
          <w:p w14:paraId="69107715">
            <w:pPr>
              <w:spacing w:before="101" w:line="220" w:lineRule="auto"/>
              <w:ind w:left="857"/>
              <w:rPr>
                <w:rFonts w:ascii="宋体" w:hAnsi="宋体" w:eastAsia="宋体" w:cs="宋体"/>
                <w:sz w:val="22"/>
                <w:szCs w:val="22"/>
              </w:rPr>
            </w:pPr>
            <w:r>
              <w:rPr>
                <w:rFonts w:ascii="宋体" w:hAnsi="宋体" w:eastAsia="宋体" w:cs="宋体"/>
                <w:spacing w:val="-3"/>
                <w:sz w:val="22"/>
                <w:szCs w:val="22"/>
              </w:rPr>
              <w:t>养殖坑塘</w:t>
            </w:r>
          </w:p>
        </w:tc>
        <w:tc>
          <w:tcPr>
            <w:tcW w:w="3067" w:type="dxa"/>
            <w:tcBorders>
              <w:right w:val="single" w:color="000000" w:sz="10" w:space="0"/>
            </w:tcBorders>
            <w:vAlign w:val="top"/>
          </w:tcPr>
          <w:p w14:paraId="381299FE">
            <w:pPr>
              <w:pStyle w:val="33"/>
              <w:spacing w:before="139" w:line="189" w:lineRule="auto"/>
              <w:ind w:left="1237"/>
              <w:rPr>
                <w:rFonts w:hint="default" w:eastAsia="宋体"/>
                <w:lang w:val="en-US" w:eastAsia="zh-CN"/>
              </w:rPr>
            </w:pPr>
            <w:r>
              <w:rPr>
                <w:rFonts w:hint="eastAsia" w:eastAsia="宋体"/>
                <w:lang w:val="en-US" w:eastAsia="zh-CN"/>
              </w:rPr>
              <w:t>0.6376</w:t>
            </w:r>
          </w:p>
        </w:tc>
      </w:tr>
      <w:tr w14:paraId="47541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2879" w:type="dxa"/>
            <w:vMerge w:val="continue"/>
            <w:tcBorders>
              <w:top w:val="nil"/>
              <w:left w:val="single" w:color="000000" w:sz="10" w:space="0"/>
              <w:bottom w:val="nil"/>
            </w:tcBorders>
            <w:vAlign w:val="top"/>
          </w:tcPr>
          <w:p w14:paraId="3921D7FD">
            <w:pPr>
              <w:rPr>
                <w:rFonts w:ascii="Arial"/>
                <w:sz w:val="21"/>
              </w:rPr>
            </w:pPr>
          </w:p>
        </w:tc>
        <w:tc>
          <w:tcPr>
            <w:tcW w:w="2583" w:type="dxa"/>
            <w:vAlign w:val="top"/>
          </w:tcPr>
          <w:p w14:paraId="703267B9">
            <w:pPr>
              <w:spacing w:before="101" w:line="220" w:lineRule="auto"/>
              <w:ind w:left="857"/>
              <w:rPr>
                <w:rFonts w:hint="default" w:ascii="宋体" w:hAnsi="宋体" w:eastAsia="宋体" w:cs="宋体"/>
                <w:spacing w:val="-3"/>
                <w:sz w:val="22"/>
                <w:szCs w:val="22"/>
                <w:lang w:val="en-US" w:eastAsia="zh-CN"/>
              </w:rPr>
            </w:pPr>
            <w:r>
              <w:rPr>
                <w:rFonts w:hint="eastAsia" w:ascii="宋体" w:hAnsi="宋体" w:cs="宋体"/>
                <w:spacing w:val="-3"/>
                <w:sz w:val="22"/>
                <w:szCs w:val="22"/>
                <w:lang w:val="en-US" w:eastAsia="zh-CN"/>
              </w:rPr>
              <w:t>河流水面</w:t>
            </w:r>
          </w:p>
        </w:tc>
        <w:tc>
          <w:tcPr>
            <w:tcW w:w="3067" w:type="dxa"/>
            <w:tcBorders>
              <w:right w:val="single" w:color="000000" w:sz="10" w:space="0"/>
            </w:tcBorders>
            <w:vAlign w:val="top"/>
          </w:tcPr>
          <w:p w14:paraId="2A2958E3">
            <w:pPr>
              <w:pStyle w:val="33"/>
              <w:spacing w:before="139" w:line="189" w:lineRule="auto"/>
              <w:ind w:left="1237"/>
              <w:rPr>
                <w:rFonts w:hint="default" w:eastAsia="宋体"/>
                <w:lang w:val="en-US" w:eastAsia="zh-CN"/>
              </w:rPr>
            </w:pPr>
            <w:r>
              <w:rPr>
                <w:rFonts w:hint="eastAsia" w:eastAsia="宋体"/>
                <w:lang w:val="en-US" w:eastAsia="zh-CN"/>
              </w:rPr>
              <w:t>34.1194</w:t>
            </w:r>
          </w:p>
        </w:tc>
      </w:tr>
      <w:tr w14:paraId="3C37A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2879" w:type="dxa"/>
            <w:vMerge w:val="continue"/>
            <w:tcBorders>
              <w:top w:val="nil"/>
              <w:left w:val="single" w:color="000000" w:sz="10" w:space="0"/>
              <w:bottom w:val="nil"/>
            </w:tcBorders>
            <w:vAlign w:val="top"/>
          </w:tcPr>
          <w:p w14:paraId="1704B15B">
            <w:pPr>
              <w:rPr>
                <w:rFonts w:ascii="Arial"/>
                <w:sz w:val="21"/>
              </w:rPr>
            </w:pPr>
          </w:p>
        </w:tc>
        <w:tc>
          <w:tcPr>
            <w:tcW w:w="2583" w:type="dxa"/>
            <w:vAlign w:val="top"/>
          </w:tcPr>
          <w:p w14:paraId="71040350">
            <w:pPr>
              <w:spacing w:before="101" w:line="220" w:lineRule="auto"/>
              <w:ind w:left="857"/>
              <w:rPr>
                <w:rFonts w:hint="default" w:ascii="宋体" w:hAnsi="宋体" w:cs="宋体"/>
                <w:spacing w:val="-3"/>
                <w:sz w:val="22"/>
                <w:szCs w:val="22"/>
                <w:lang w:val="en-US" w:eastAsia="zh-CN"/>
              </w:rPr>
            </w:pPr>
            <w:r>
              <w:rPr>
                <w:rFonts w:hint="eastAsia" w:ascii="宋体" w:hAnsi="宋体" w:cs="宋体"/>
                <w:spacing w:val="-3"/>
                <w:sz w:val="22"/>
                <w:szCs w:val="22"/>
                <w:lang w:val="en-US" w:eastAsia="zh-CN"/>
              </w:rPr>
              <w:t>内陆滩涂</w:t>
            </w:r>
          </w:p>
        </w:tc>
        <w:tc>
          <w:tcPr>
            <w:tcW w:w="3067" w:type="dxa"/>
            <w:tcBorders>
              <w:right w:val="single" w:color="000000" w:sz="10" w:space="0"/>
            </w:tcBorders>
            <w:vAlign w:val="top"/>
          </w:tcPr>
          <w:p w14:paraId="5F525DB3">
            <w:pPr>
              <w:pStyle w:val="33"/>
              <w:spacing w:before="139" w:line="189" w:lineRule="auto"/>
              <w:ind w:left="1237"/>
              <w:rPr>
                <w:rFonts w:hint="default" w:eastAsia="宋体"/>
                <w:lang w:val="en-US" w:eastAsia="zh-CN"/>
              </w:rPr>
            </w:pPr>
            <w:r>
              <w:rPr>
                <w:rFonts w:hint="eastAsia" w:eastAsia="宋体"/>
                <w:lang w:val="en-US" w:eastAsia="zh-CN"/>
              </w:rPr>
              <w:t>0.0932</w:t>
            </w:r>
          </w:p>
        </w:tc>
      </w:tr>
      <w:tr w14:paraId="21E54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2879" w:type="dxa"/>
            <w:vMerge w:val="continue"/>
            <w:tcBorders>
              <w:top w:val="nil"/>
              <w:left w:val="single" w:color="000000" w:sz="10" w:space="0"/>
              <w:bottom w:val="single" w:color="000000" w:sz="10" w:space="0"/>
            </w:tcBorders>
            <w:vAlign w:val="top"/>
          </w:tcPr>
          <w:p w14:paraId="0DAB2652">
            <w:pPr>
              <w:rPr>
                <w:rFonts w:ascii="Arial"/>
                <w:sz w:val="21"/>
              </w:rPr>
            </w:pPr>
          </w:p>
        </w:tc>
        <w:tc>
          <w:tcPr>
            <w:tcW w:w="2583" w:type="dxa"/>
            <w:tcBorders>
              <w:bottom w:val="single" w:color="000000" w:sz="10" w:space="0"/>
            </w:tcBorders>
            <w:vAlign w:val="top"/>
          </w:tcPr>
          <w:p w14:paraId="1E1DF309">
            <w:pPr>
              <w:spacing w:before="105" w:line="222" w:lineRule="auto"/>
              <w:ind w:left="1083"/>
              <w:rPr>
                <w:rFonts w:hint="eastAsia" w:ascii="宋体" w:hAnsi="宋体" w:eastAsia="宋体" w:cs="宋体"/>
                <w:sz w:val="22"/>
                <w:szCs w:val="22"/>
                <w:lang w:val="en-US" w:eastAsia="zh-CN"/>
              </w:rPr>
            </w:pPr>
            <w:r>
              <w:rPr>
                <w:rFonts w:hint="eastAsia" w:ascii="宋体" w:hAnsi="宋体" w:cs="宋体"/>
                <w:sz w:val="22"/>
                <w:szCs w:val="22"/>
                <w:lang w:val="en-US" w:eastAsia="zh-CN"/>
              </w:rPr>
              <w:t>合计</w:t>
            </w:r>
          </w:p>
        </w:tc>
        <w:tc>
          <w:tcPr>
            <w:tcW w:w="3067" w:type="dxa"/>
            <w:tcBorders>
              <w:bottom w:val="single" w:color="000000" w:sz="10" w:space="0"/>
              <w:right w:val="single" w:color="000000" w:sz="10" w:space="0"/>
            </w:tcBorders>
            <w:vAlign w:val="top"/>
          </w:tcPr>
          <w:p w14:paraId="25B78E02">
            <w:pPr>
              <w:pStyle w:val="33"/>
              <w:spacing w:before="143" w:line="189" w:lineRule="auto"/>
              <w:ind w:left="1237"/>
              <w:rPr>
                <w:rFonts w:hint="default" w:eastAsia="宋体"/>
                <w:lang w:val="en-US" w:eastAsia="zh-CN"/>
              </w:rPr>
            </w:pPr>
            <w:r>
              <w:rPr>
                <w:rFonts w:hint="eastAsia" w:eastAsia="宋体"/>
                <w:lang w:val="en-US" w:eastAsia="zh-CN"/>
              </w:rPr>
              <w:t>52.9831</w:t>
            </w:r>
          </w:p>
        </w:tc>
      </w:tr>
    </w:tbl>
    <w:p w14:paraId="10853A9C">
      <w:pPr>
        <w:pStyle w:val="4"/>
        <w:numPr>
          <w:ilvl w:val="0"/>
          <w:numId w:val="0"/>
        </w:numPr>
        <w:ind w:leftChars="200"/>
        <w:jc w:val="both"/>
        <w:rPr>
          <w:b w:val="0"/>
        </w:rPr>
      </w:pPr>
      <w:bookmarkStart w:id="259" w:name="_Toc27014"/>
      <w:bookmarkStart w:id="260" w:name="_Toc6676"/>
      <w:bookmarkStart w:id="261" w:name="_Toc25394"/>
      <w:bookmarkStart w:id="262" w:name="_Toc10189"/>
      <w:bookmarkStart w:id="263" w:name="_Toc8337"/>
      <w:r>
        <w:rPr>
          <w:rFonts w:hint="eastAsia"/>
          <w:lang w:val="en-US" w:eastAsia="zh-CN"/>
        </w:rPr>
        <w:t xml:space="preserve">3.3.2 </w:t>
      </w:r>
      <w:r>
        <w:t>饮用水水源地一级保护区禁养区</w:t>
      </w:r>
      <w:bookmarkEnd w:id="259"/>
      <w:bookmarkEnd w:id="260"/>
      <w:bookmarkEnd w:id="261"/>
      <w:bookmarkEnd w:id="262"/>
      <w:bookmarkEnd w:id="263"/>
    </w:p>
    <w:p w14:paraId="2D181AD7">
      <w:pPr>
        <w:pStyle w:val="11"/>
        <w:keepNext w:val="0"/>
        <w:keepLines w:val="0"/>
        <w:pageBreakBefore w:val="0"/>
        <w:widowControl w:val="0"/>
        <w:kinsoku/>
        <w:wordWrap/>
        <w:overflowPunct/>
        <w:topLinePunct w:val="0"/>
        <w:autoSpaceDE/>
        <w:autoSpaceDN/>
        <w:bidi w:val="0"/>
        <w:adjustRightInd w:val="0"/>
        <w:snapToGrid/>
        <w:spacing w:before="0" w:after="0"/>
        <w:ind w:leftChars="0" w:firstLine="560" w:firstLineChars="200"/>
        <w:jc w:val="both"/>
        <w:textAlignment w:val="auto"/>
        <w:rPr>
          <w:rFonts w:hint="eastAsia" w:ascii="Times New Roman" w:hAnsi="Times New Roman" w:eastAsia="宋体" w:cs="Times New Roman"/>
          <w:sz w:val="28"/>
          <w:szCs w:val="28"/>
          <w:lang w:val="en-US" w:eastAsia="zh-CN"/>
        </w:rPr>
      </w:pPr>
      <w:r>
        <w:rPr>
          <w:rFonts w:ascii="Times New Roman" w:hAnsi="Times New Roman" w:eastAsia="宋体" w:cs="Times New Roman"/>
          <w:sz w:val="28"/>
          <w:szCs w:val="28"/>
        </w:rPr>
        <w:t>根据伊春市饮用水源地数据库</w:t>
      </w:r>
      <w:r>
        <w:rPr>
          <w:rFonts w:hint="eastAsia" w:cs="Times New Roman"/>
          <w:sz w:val="28"/>
          <w:szCs w:val="28"/>
          <w:lang w:val="en-US" w:eastAsia="zh-CN"/>
        </w:rPr>
        <w:t>可知</w:t>
      </w:r>
      <w:r>
        <w:rPr>
          <w:rFonts w:ascii="Times New Roman" w:hAnsi="Times New Roman" w:eastAsia="宋体" w:cs="Times New Roman"/>
          <w:sz w:val="28"/>
          <w:szCs w:val="28"/>
        </w:rPr>
        <w:t>，</w:t>
      </w:r>
      <w:r>
        <w:rPr>
          <w:rFonts w:hint="eastAsia" w:cs="Times New Roman"/>
          <w:sz w:val="28"/>
          <w:szCs w:val="28"/>
          <w:lang w:eastAsia="zh-CN"/>
        </w:rPr>
        <w:t>友好区</w:t>
      </w:r>
      <w:r>
        <w:rPr>
          <w:rFonts w:ascii="Times New Roman" w:hAnsi="Times New Roman" w:eastAsia="宋体" w:cs="Times New Roman"/>
          <w:sz w:val="28"/>
          <w:szCs w:val="28"/>
        </w:rPr>
        <w:t>饮用水水源地</w:t>
      </w:r>
      <w:r>
        <w:rPr>
          <w:rFonts w:hint="eastAsia" w:cs="Times New Roman"/>
          <w:sz w:val="28"/>
          <w:szCs w:val="28"/>
          <w:lang w:val="en-US" w:eastAsia="zh-CN"/>
        </w:rPr>
        <w:t>一级</w:t>
      </w:r>
      <w:r>
        <w:rPr>
          <w:rFonts w:ascii="Times New Roman" w:hAnsi="Times New Roman" w:eastAsia="宋体" w:cs="Times New Roman"/>
          <w:sz w:val="28"/>
          <w:szCs w:val="28"/>
        </w:rPr>
        <w:t>保护区</w:t>
      </w:r>
      <w:r>
        <w:rPr>
          <w:rFonts w:hint="eastAsia" w:cs="Times New Roman"/>
          <w:sz w:val="28"/>
          <w:szCs w:val="28"/>
          <w:lang w:val="en-US" w:eastAsia="zh-CN"/>
        </w:rPr>
        <w:t>面积为公顷。友好区</w:t>
      </w:r>
      <w:r>
        <w:rPr>
          <w:rFonts w:ascii="Times New Roman" w:hAnsi="Times New Roman" w:eastAsia="宋体" w:cs="Times New Roman"/>
          <w:color w:val="auto"/>
          <w:sz w:val="28"/>
          <w:szCs w:val="28"/>
        </w:rPr>
        <w:t>一级饮用水水源地保护区</w:t>
      </w:r>
      <w:r>
        <w:rPr>
          <w:rFonts w:hint="eastAsia" w:cs="Times New Roman"/>
          <w:color w:val="auto"/>
          <w:sz w:val="28"/>
          <w:szCs w:val="28"/>
          <w:lang w:val="en-US" w:eastAsia="zh-CN"/>
        </w:rPr>
        <w:t>四</w:t>
      </w:r>
      <w:r>
        <w:rPr>
          <w:rFonts w:ascii="Times New Roman" w:hAnsi="Times New Roman" w:eastAsia="宋体" w:cs="Times New Roman"/>
          <w:color w:val="auto"/>
          <w:sz w:val="28"/>
          <w:szCs w:val="28"/>
        </w:rPr>
        <w:t>处，</w:t>
      </w:r>
      <w:r>
        <w:rPr>
          <w:rFonts w:ascii="Times New Roman" w:hAnsi="Times New Roman" w:eastAsia="宋体" w:cs="Times New Roman"/>
          <w:sz w:val="28"/>
          <w:szCs w:val="28"/>
        </w:rPr>
        <w:t>分别为东升地下水水源地、</w:t>
      </w:r>
      <w:r>
        <w:rPr>
          <w:rFonts w:hint="eastAsia" w:ascii="Times New Roman" w:hAnsi="Times New Roman" w:eastAsia="宋体" w:cs="Times New Roman"/>
          <w:sz w:val="28"/>
          <w:szCs w:val="28"/>
          <w:lang w:val="en-US" w:eastAsia="zh-CN"/>
        </w:rPr>
        <w:t>伊春市上甘岭区地下水饮用水水源</w:t>
      </w:r>
      <w:r>
        <w:rPr>
          <w:rFonts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伊春市友好区加工厂水源</w:t>
      </w:r>
      <w:r>
        <w:rPr>
          <w:rFonts w:hint="eastAsia" w:cs="Times New Roman"/>
          <w:sz w:val="28"/>
          <w:szCs w:val="28"/>
          <w:lang w:val="en-US" w:eastAsia="zh-CN"/>
        </w:rPr>
        <w:t>、</w:t>
      </w:r>
      <w:r>
        <w:rPr>
          <w:rFonts w:hint="eastAsia" w:ascii="Times New Roman" w:hAnsi="Times New Roman" w:eastAsia="宋体" w:cs="Times New Roman"/>
          <w:b w:val="0"/>
          <w:sz w:val="28"/>
          <w:szCs w:val="28"/>
        </w:rPr>
        <w:t>友好区第二饮用水水源地</w:t>
      </w:r>
      <w:r>
        <w:rPr>
          <w:rFonts w:ascii="Times New Roman" w:hAnsi="Times New Roman" w:eastAsia="宋体" w:cs="Times New Roman"/>
          <w:sz w:val="28"/>
          <w:szCs w:val="28"/>
        </w:rPr>
        <w:t>。</w:t>
      </w:r>
    </w:p>
    <w:p w14:paraId="4CC3151B">
      <w:pPr>
        <w:pStyle w:val="11"/>
        <w:keepNext w:val="0"/>
        <w:keepLines w:val="0"/>
        <w:pageBreakBefore w:val="0"/>
        <w:widowControl w:val="0"/>
        <w:numPr>
          <w:ilvl w:val="0"/>
          <w:numId w:val="0"/>
        </w:numPr>
        <w:kinsoku/>
        <w:wordWrap/>
        <w:overflowPunct/>
        <w:topLinePunct w:val="0"/>
        <w:autoSpaceDE/>
        <w:autoSpaceDN/>
        <w:bidi w:val="0"/>
        <w:adjustRightInd w:val="0"/>
        <w:snapToGrid/>
        <w:spacing w:before="0" w:after="0"/>
        <w:ind w:leftChars="0" w:firstLine="560" w:firstLineChars="200"/>
        <w:jc w:val="both"/>
        <w:textAlignment w:val="auto"/>
        <w:rPr>
          <w:rFonts w:hint="eastAsia" w:ascii="Times New Roman" w:hAnsi="Times New Roman" w:eastAsia="宋体" w:cs="Times New Roman"/>
          <w:sz w:val="28"/>
          <w:szCs w:val="28"/>
          <w:lang w:val="en-US" w:eastAsia="zh-CN"/>
        </w:rPr>
      </w:pPr>
      <w:r>
        <w:rPr>
          <w:rFonts w:hint="eastAsia" w:cs="Times New Roman"/>
          <w:b w:val="0"/>
          <w:sz w:val="28"/>
          <w:szCs w:val="28"/>
          <w:lang w:val="en-US" w:eastAsia="zh-CN"/>
        </w:rPr>
        <w:t>1、</w:t>
      </w:r>
      <w:r>
        <w:rPr>
          <w:rFonts w:ascii="Times New Roman" w:hAnsi="Times New Roman" w:eastAsia="宋体" w:cs="Times New Roman"/>
          <w:sz w:val="28"/>
          <w:szCs w:val="28"/>
        </w:rPr>
        <w:t>东</w:t>
      </w:r>
      <w:r>
        <w:rPr>
          <w:rFonts w:hint="eastAsia" w:ascii="Times New Roman" w:hAnsi="Times New Roman" w:eastAsia="宋体" w:cs="Times New Roman"/>
          <w:sz w:val="28"/>
          <w:szCs w:val="28"/>
          <w:lang w:val="en-US" w:eastAsia="zh-CN"/>
        </w:rPr>
        <w:t>升地下水水源地</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共20口井，该水源地为构造裂隙承压水型水源地，不设二级保护区。一级保护区范围:以4号、23号、40号、41号、42号、38号、34号、9号等8眼取水井的外接多边形为边界，向外径向距离为750米的多边形区域，面积为19.7068平方公里</w:t>
      </w:r>
    </w:p>
    <w:p w14:paraId="29AFD0E1">
      <w:pPr>
        <w:pStyle w:val="11"/>
        <w:keepNext w:val="0"/>
        <w:keepLines w:val="0"/>
        <w:pageBreakBefore w:val="0"/>
        <w:widowControl w:val="0"/>
        <w:numPr>
          <w:ilvl w:val="0"/>
          <w:numId w:val="0"/>
        </w:numPr>
        <w:kinsoku/>
        <w:wordWrap/>
        <w:overflowPunct/>
        <w:topLinePunct w:val="0"/>
        <w:autoSpaceDE/>
        <w:autoSpaceDN/>
        <w:bidi w:val="0"/>
        <w:adjustRightInd w:val="0"/>
        <w:snapToGrid/>
        <w:spacing w:before="0" w:after="0"/>
        <w:ind w:leftChars="0" w:firstLine="560" w:firstLineChars="200"/>
        <w:jc w:val="both"/>
        <w:textAlignment w:val="auto"/>
        <w:rPr>
          <w:rFonts w:hint="eastAsia" w:cs="Times New Roman"/>
          <w:sz w:val="28"/>
          <w:szCs w:val="28"/>
          <w:lang w:val="en-US" w:eastAsia="zh-CN"/>
        </w:rPr>
      </w:pPr>
      <w:r>
        <w:rPr>
          <w:rFonts w:hint="eastAsia" w:cs="Times New Roman"/>
          <w:b w:val="0"/>
          <w:sz w:val="28"/>
          <w:szCs w:val="28"/>
          <w:lang w:val="en-US" w:eastAsia="zh-CN"/>
        </w:rPr>
        <w:t>2、上甘岭镇饮用水水源保护区</w:t>
      </w:r>
      <w:r>
        <w:rPr>
          <w:rFonts w:hint="eastAsia" w:cs="Times New Roman"/>
          <w:sz w:val="28"/>
          <w:szCs w:val="28"/>
          <w:lang w:val="en-US" w:eastAsia="zh-CN"/>
        </w:rPr>
        <w:t>：调整后共有6眼取水井，只设一级保护区，范围以6眼取水井的外接多边形为边界，向外径向距离为30米的多边形区域，总面积为124160平方米，不设级保护区和准保护区。</w:t>
      </w:r>
    </w:p>
    <w:p w14:paraId="31967B36">
      <w:pPr>
        <w:pStyle w:val="11"/>
        <w:keepNext w:val="0"/>
        <w:keepLines w:val="0"/>
        <w:pageBreakBefore w:val="0"/>
        <w:widowControl w:val="0"/>
        <w:numPr>
          <w:ilvl w:val="0"/>
          <w:numId w:val="0"/>
        </w:numPr>
        <w:kinsoku/>
        <w:wordWrap/>
        <w:overflowPunct/>
        <w:topLinePunct w:val="0"/>
        <w:autoSpaceDE/>
        <w:autoSpaceDN/>
        <w:bidi w:val="0"/>
        <w:adjustRightInd w:val="0"/>
        <w:snapToGrid/>
        <w:spacing w:before="0" w:after="0"/>
        <w:ind w:leftChars="0" w:firstLine="560" w:firstLineChars="200"/>
        <w:jc w:val="both"/>
        <w:textAlignment w:val="auto"/>
        <w:rPr>
          <w:rFonts w:hint="default" w:cs="Times New Roman"/>
          <w:sz w:val="28"/>
          <w:szCs w:val="28"/>
          <w:lang w:val="en-US" w:eastAsia="zh-CN"/>
        </w:rPr>
      </w:pPr>
      <w:r>
        <w:rPr>
          <w:rFonts w:hint="eastAsia" w:cs="Times New Roman"/>
          <w:sz w:val="28"/>
          <w:szCs w:val="28"/>
          <w:lang w:val="en-US" w:eastAsia="zh-CN"/>
        </w:rPr>
        <w:t>3、</w:t>
      </w:r>
      <w:r>
        <w:rPr>
          <w:rFonts w:hint="eastAsia" w:ascii="Times New Roman" w:hAnsi="Times New Roman" w:eastAsia="宋体" w:cs="Times New Roman"/>
          <w:sz w:val="28"/>
          <w:szCs w:val="28"/>
          <w:lang w:val="en-US" w:eastAsia="zh-CN"/>
        </w:rPr>
        <w:t>伊春市友好区加工厂水源</w:t>
      </w:r>
      <w:r>
        <w:rPr>
          <w:rFonts w:hint="eastAsia" w:cs="Times New Roman"/>
          <w:sz w:val="28"/>
          <w:szCs w:val="28"/>
          <w:lang w:val="en-US" w:eastAsia="zh-CN"/>
        </w:rPr>
        <w:t>：一级保护区范围:以s1号、s2号、s3号取水井的外接多边形为边界，向外径向距离为295米的多边形区域，包括长度为沿s1号取水井对应的双子河断面上溯1000米至沿s3号取水井对应的双子河断面下延100米之间，宽度为双子河堤防内5年一遇洪水所能淹没的水域，和与该水域等长，宽度为堤防两岸纵深100米范围内的陆域，面积为1.5210平方公里。</w:t>
      </w:r>
    </w:p>
    <w:p w14:paraId="2746A338">
      <w:pPr>
        <w:pStyle w:val="11"/>
        <w:keepNext w:val="0"/>
        <w:keepLines w:val="0"/>
        <w:pageBreakBefore w:val="0"/>
        <w:widowControl w:val="0"/>
        <w:numPr>
          <w:ilvl w:val="0"/>
          <w:numId w:val="0"/>
        </w:numPr>
        <w:kinsoku/>
        <w:wordWrap/>
        <w:overflowPunct/>
        <w:topLinePunct w:val="0"/>
        <w:autoSpaceDE/>
        <w:autoSpaceDN/>
        <w:bidi w:val="0"/>
        <w:adjustRightInd w:val="0"/>
        <w:snapToGrid/>
        <w:spacing w:before="0" w:after="0"/>
        <w:ind w:leftChars="0" w:firstLine="560" w:firstLineChars="200"/>
        <w:jc w:val="both"/>
        <w:textAlignment w:val="auto"/>
        <w:rPr>
          <w:rFonts w:hint="eastAsia" w:ascii="Times New Roman" w:hAnsi="Times New Roman" w:eastAsia="宋体" w:cs="Times New Roman"/>
          <w:b w:val="0"/>
          <w:sz w:val="28"/>
          <w:szCs w:val="28"/>
        </w:rPr>
      </w:pPr>
      <w:r>
        <w:rPr>
          <w:rFonts w:hint="eastAsia" w:cs="Times New Roman"/>
          <w:b w:val="0"/>
          <w:sz w:val="28"/>
          <w:szCs w:val="28"/>
          <w:lang w:val="en-US" w:eastAsia="zh-CN"/>
        </w:rPr>
        <w:t>4、</w:t>
      </w:r>
      <w:r>
        <w:rPr>
          <w:rFonts w:hint="eastAsia" w:ascii="Times New Roman" w:hAnsi="Times New Roman" w:eastAsia="宋体" w:cs="Times New Roman"/>
          <w:b w:val="0"/>
          <w:sz w:val="28"/>
          <w:szCs w:val="28"/>
        </w:rPr>
        <w:t>友好区第二饮用水水源地</w:t>
      </w:r>
      <w:r>
        <w:rPr>
          <w:rFonts w:hint="eastAsia" w:cs="Times New Roman"/>
          <w:b w:val="0"/>
          <w:sz w:val="28"/>
          <w:szCs w:val="28"/>
          <w:lang w:eastAsia="zh-CN"/>
        </w:rPr>
        <w:t>：</w:t>
      </w:r>
      <w:r>
        <w:rPr>
          <w:rFonts w:hint="eastAsia" w:ascii="Times New Roman" w:hAnsi="Times New Roman" w:eastAsia="宋体" w:cs="Times New Roman"/>
          <w:b w:val="0"/>
          <w:sz w:val="28"/>
          <w:szCs w:val="28"/>
        </w:rPr>
        <w:t>调整后共3眼取水井</w:t>
      </w:r>
      <w:r>
        <w:rPr>
          <w:rFonts w:hint="eastAsia" w:cs="Times New Roman"/>
          <w:b w:val="0"/>
          <w:sz w:val="28"/>
          <w:szCs w:val="28"/>
          <w:lang w:eastAsia="zh-CN"/>
        </w:rPr>
        <w:t>，</w:t>
      </w:r>
      <w:r>
        <w:rPr>
          <w:rFonts w:hint="eastAsia" w:ascii="Times New Roman" w:hAnsi="Times New Roman" w:eastAsia="宋体" w:cs="Times New Roman"/>
          <w:b w:val="0"/>
          <w:sz w:val="28"/>
          <w:szCs w:val="28"/>
        </w:rPr>
        <w:t>为中小型松散岩类孔隙潜水、基岩裂隙潜水型水源，一级保护区分别以1号、2号、3号水源井为中心，200米为半径的3个圆形区域，但是1号水源井西南以双子河北岸为界，一级保护区面积为0.351平方公里。</w:t>
      </w:r>
    </w:p>
    <w:p w14:paraId="5646A00D">
      <w:pPr>
        <w:pStyle w:val="11"/>
        <w:keepNext w:val="0"/>
        <w:keepLines w:val="0"/>
        <w:pageBreakBefore w:val="0"/>
        <w:widowControl w:val="0"/>
        <w:numPr>
          <w:ilvl w:val="0"/>
          <w:numId w:val="0"/>
        </w:numPr>
        <w:kinsoku/>
        <w:wordWrap/>
        <w:overflowPunct/>
        <w:topLinePunct w:val="0"/>
        <w:autoSpaceDE/>
        <w:autoSpaceDN/>
        <w:bidi w:val="0"/>
        <w:adjustRightInd w:val="0"/>
        <w:snapToGrid/>
        <w:spacing w:before="0" w:after="0"/>
        <w:jc w:val="center"/>
        <w:textAlignment w:val="auto"/>
        <w:rPr>
          <w:rFonts w:hint="eastAsia" w:ascii="黑体" w:hAnsi="黑体" w:eastAsia="黑体" w:cs="黑体"/>
          <w:spacing w:val="-4"/>
          <w:kern w:val="2"/>
          <w:sz w:val="24"/>
          <w:szCs w:val="24"/>
          <w:lang w:val="en-US" w:eastAsia="zh-CN" w:bidi="ar-SA"/>
        </w:rPr>
      </w:pPr>
      <w:r>
        <w:rPr>
          <w:rFonts w:hint="eastAsia" w:ascii="黑体" w:hAnsi="黑体" w:eastAsia="黑体" w:cs="黑体"/>
          <w:spacing w:val="-4"/>
          <w:kern w:val="2"/>
          <w:sz w:val="24"/>
          <w:szCs w:val="24"/>
          <w:lang w:val="en-US" w:eastAsia="zh-CN" w:bidi="ar-SA"/>
        </w:rPr>
        <w:t>表3-9 友好区饮用水水源地一级保护区情况表</w:t>
      </w:r>
    </w:p>
    <w:tbl>
      <w:tblPr>
        <w:tblStyle w:val="21"/>
        <w:tblW w:w="977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97"/>
        <w:gridCol w:w="1407"/>
        <w:gridCol w:w="578"/>
        <w:gridCol w:w="611"/>
        <w:gridCol w:w="1048"/>
        <w:gridCol w:w="1549"/>
        <w:gridCol w:w="1407"/>
        <w:gridCol w:w="537"/>
        <w:gridCol w:w="685"/>
        <w:gridCol w:w="1560"/>
      </w:tblGrid>
      <w:tr w14:paraId="4402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blHeader/>
        </w:trPr>
        <w:tc>
          <w:tcPr>
            <w:tcW w:w="397" w:type="dxa"/>
            <w:vMerge w:val="restart"/>
            <w:shd w:val="clear" w:color="auto" w:fill="auto"/>
            <w:noWrap/>
            <w:vAlign w:val="center"/>
          </w:tcPr>
          <w:p w14:paraId="0A4EF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07" w:type="dxa"/>
            <w:vMerge w:val="restart"/>
            <w:shd w:val="clear" w:color="auto" w:fill="auto"/>
            <w:noWrap/>
            <w:vAlign w:val="center"/>
          </w:tcPr>
          <w:p w14:paraId="7F45BA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水源地名称</w:t>
            </w:r>
          </w:p>
        </w:tc>
        <w:tc>
          <w:tcPr>
            <w:tcW w:w="578" w:type="dxa"/>
            <w:vMerge w:val="restart"/>
            <w:shd w:val="clear" w:color="auto" w:fill="auto"/>
            <w:noWrap/>
            <w:vAlign w:val="center"/>
          </w:tcPr>
          <w:p w14:paraId="7FB3F8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井数</w:t>
            </w:r>
          </w:p>
        </w:tc>
        <w:tc>
          <w:tcPr>
            <w:tcW w:w="611" w:type="dxa"/>
            <w:vMerge w:val="restart"/>
            <w:shd w:val="clear" w:color="auto" w:fill="auto"/>
            <w:noWrap/>
            <w:vAlign w:val="center"/>
          </w:tcPr>
          <w:p w14:paraId="6740D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级别</w:t>
            </w:r>
          </w:p>
        </w:tc>
        <w:tc>
          <w:tcPr>
            <w:tcW w:w="1048" w:type="dxa"/>
            <w:vMerge w:val="restart"/>
            <w:shd w:val="clear" w:color="auto" w:fill="auto"/>
            <w:noWrap/>
            <w:vAlign w:val="center"/>
          </w:tcPr>
          <w:p w14:paraId="606F4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所属乡镇</w:t>
            </w:r>
          </w:p>
        </w:tc>
        <w:tc>
          <w:tcPr>
            <w:tcW w:w="1549" w:type="dxa"/>
            <w:vMerge w:val="restart"/>
            <w:shd w:val="clear" w:color="auto" w:fill="auto"/>
            <w:vAlign w:val="center"/>
          </w:tcPr>
          <w:p w14:paraId="39926C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经度</w:t>
            </w:r>
          </w:p>
        </w:tc>
        <w:tc>
          <w:tcPr>
            <w:tcW w:w="1407" w:type="dxa"/>
            <w:vMerge w:val="restart"/>
            <w:shd w:val="clear" w:color="auto" w:fill="auto"/>
            <w:vAlign w:val="center"/>
          </w:tcPr>
          <w:p w14:paraId="74BEC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纬度</w:t>
            </w:r>
          </w:p>
        </w:tc>
        <w:tc>
          <w:tcPr>
            <w:tcW w:w="537" w:type="dxa"/>
            <w:vMerge w:val="restart"/>
            <w:shd w:val="clear" w:color="auto" w:fill="auto"/>
            <w:noWrap/>
            <w:vAlign w:val="center"/>
          </w:tcPr>
          <w:p w14:paraId="72B5C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井号</w:t>
            </w:r>
          </w:p>
        </w:tc>
        <w:tc>
          <w:tcPr>
            <w:tcW w:w="685" w:type="dxa"/>
            <w:vMerge w:val="restart"/>
            <w:shd w:val="clear" w:color="auto" w:fill="auto"/>
            <w:vAlign w:val="center"/>
          </w:tcPr>
          <w:p w14:paraId="08D77A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水源地级别</w:t>
            </w:r>
          </w:p>
        </w:tc>
        <w:tc>
          <w:tcPr>
            <w:tcW w:w="1560" w:type="dxa"/>
            <w:vMerge w:val="restart"/>
            <w:shd w:val="clear" w:color="auto" w:fill="auto"/>
            <w:noWrap/>
            <w:vAlign w:val="center"/>
          </w:tcPr>
          <w:p w14:paraId="5A8FD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批复文号</w:t>
            </w:r>
          </w:p>
        </w:tc>
      </w:tr>
      <w:tr w14:paraId="3C3A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blHeader/>
        </w:trPr>
        <w:tc>
          <w:tcPr>
            <w:tcW w:w="397" w:type="dxa"/>
            <w:vMerge w:val="continue"/>
            <w:shd w:val="clear" w:color="auto" w:fill="auto"/>
            <w:noWrap/>
            <w:vAlign w:val="center"/>
          </w:tcPr>
          <w:p w14:paraId="2018169D">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6047F3EF">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0FF8F67E">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76159106">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noWrap/>
            <w:vAlign w:val="center"/>
          </w:tcPr>
          <w:p w14:paraId="10D853A5">
            <w:pPr>
              <w:jc w:val="center"/>
              <w:rPr>
                <w:rFonts w:hint="eastAsia" w:ascii="宋体" w:hAnsi="宋体" w:eastAsia="宋体" w:cs="宋体"/>
                <w:i w:val="0"/>
                <w:iCs w:val="0"/>
                <w:color w:val="000000"/>
                <w:sz w:val="21"/>
                <w:szCs w:val="21"/>
                <w:u w:val="none"/>
              </w:rPr>
            </w:pPr>
          </w:p>
        </w:tc>
        <w:tc>
          <w:tcPr>
            <w:tcW w:w="1549" w:type="dxa"/>
            <w:vMerge w:val="continue"/>
            <w:shd w:val="clear" w:color="auto" w:fill="auto"/>
            <w:vAlign w:val="center"/>
          </w:tcPr>
          <w:p w14:paraId="379CA660">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vAlign w:val="center"/>
          </w:tcPr>
          <w:p w14:paraId="61CC5D5C">
            <w:pPr>
              <w:jc w:val="center"/>
              <w:rPr>
                <w:rFonts w:hint="eastAsia" w:ascii="宋体" w:hAnsi="宋体" w:eastAsia="宋体" w:cs="宋体"/>
                <w:i w:val="0"/>
                <w:iCs w:val="0"/>
                <w:color w:val="000000"/>
                <w:sz w:val="21"/>
                <w:szCs w:val="21"/>
                <w:u w:val="none"/>
              </w:rPr>
            </w:pPr>
          </w:p>
        </w:tc>
        <w:tc>
          <w:tcPr>
            <w:tcW w:w="537" w:type="dxa"/>
            <w:vMerge w:val="continue"/>
            <w:shd w:val="clear" w:color="auto" w:fill="auto"/>
            <w:noWrap/>
            <w:vAlign w:val="center"/>
          </w:tcPr>
          <w:p w14:paraId="23F8A24E">
            <w:pPr>
              <w:jc w:val="center"/>
              <w:rPr>
                <w:rFonts w:hint="eastAsia" w:ascii="宋体" w:hAnsi="宋体" w:eastAsia="宋体" w:cs="宋体"/>
                <w:i w:val="0"/>
                <w:iCs w:val="0"/>
                <w:color w:val="000000"/>
                <w:sz w:val="21"/>
                <w:szCs w:val="21"/>
                <w:u w:val="none"/>
              </w:rPr>
            </w:pPr>
          </w:p>
        </w:tc>
        <w:tc>
          <w:tcPr>
            <w:tcW w:w="685" w:type="dxa"/>
            <w:vMerge w:val="continue"/>
            <w:shd w:val="clear" w:color="auto" w:fill="auto"/>
            <w:vAlign w:val="center"/>
          </w:tcPr>
          <w:p w14:paraId="4DB07B5A">
            <w:pPr>
              <w:jc w:val="center"/>
              <w:rPr>
                <w:rFonts w:hint="eastAsia" w:ascii="宋体" w:hAnsi="宋体" w:eastAsia="宋体" w:cs="宋体"/>
                <w:i w:val="0"/>
                <w:iCs w:val="0"/>
                <w:color w:val="000000"/>
                <w:sz w:val="21"/>
                <w:szCs w:val="21"/>
                <w:u w:val="none"/>
              </w:rPr>
            </w:pPr>
          </w:p>
        </w:tc>
        <w:tc>
          <w:tcPr>
            <w:tcW w:w="1560" w:type="dxa"/>
            <w:vMerge w:val="continue"/>
            <w:shd w:val="clear" w:color="auto" w:fill="auto"/>
            <w:noWrap/>
            <w:vAlign w:val="center"/>
          </w:tcPr>
          <w:p w14:paraId="1F880627">
            <w:pPr>
              <w:jc w:val="center"/>
              <w:rPr>
                <w:rFonts w:hint="eastAsia" w:ascii="宋体" w:hAnsi="宋体" w:eastAsia="宋体" w:cs="宋体"/>
                <w:i w:val="0"/>
                <w:iCs w:val="0"/>
                <w:color w:val="000000"/>
                <w:sz w:val="21"/>
                <w:szCs w:val="21"/>
                <w:u w:val="none"/>
              </w:rPr>
            </w:pPr>
          </w:p>
        </w:tc>
      </w:tr>
      <w:tr w14:paraId="33B8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397" w:type="dxa"/>
            <w:shd w:val="clear" w:color="auto" w:fill="auto"/>
            <w:noWrap/>
            <w:vAlign w:val="center"/>
          </w:tcPr>
          <w:p w14:paraId="637A73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07" w:type="dxa"/>
            <w:shd w:val="clear" w:color="auto" w:fill="auto"/>
            <w:noWrap/>
            <w:vAlign w:val="center"/>
          </w:tcPr>
          <w:p w14:paraId="351D4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东升地下水水源地</w:t>
            </w:r>
          </w:p>
        </w:tc>
        <w:tc>
          <w:tcPr>
            <w:tcW w:w="578" w:type="dxa"/>
            <w:shd w:val="clear" w:color="auto" w:fill="auto"/>
            <w:noWrap/>
            <w:vAlign w:val="center"/>
          </w:tcPr>
          <w:p w14:paraId="73C91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11" w:type="dxa"/>
            <w:shd w:val="clear" w:color="auto" w:fill="auto"/>
            <w:noWrap/>
            <w:vAlign w:val="center"/>
          </w:tcPr>
          <w:p w14:paraId="7E7216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1048" w:type="dxa"/>
            <w:shd w:val="clear" w:color="auto" w:fill="auto"/>
            <w:noWrap/>
            <w:vAlign w:val="center"/>
          </w:tcPr>
          <w:p w14:paraId="067AE8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友好街道</w:t>
            </w:r>
          </w:p>
        </w:tc>
        <w:tc>
          <w:tcPr>
            <w:tcW w:w="1549" w:type="dxa"/>
            <w:shd w:val="clear" w:color="auto" w:fill="auto"/>
            <w:vAlign w:val="center"/>
          </w:tcPr>
          <w:p w14:paraId="404A9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07" w:type="dxa"/>
            <w:shd w:val="clear" w:color="auto" w:fill="auto"/>
            <w:vAlign w:val="center"/>
          </w:tcPr>
          <w:p w14:paraId="2F9F9C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37" w:type="dxa"/>
            <w:shd w:val="clear" w:color="auto" w:fill="auto"/>
            <w:noWrap/>
            <w:vAlign w:val="center"/>
          </w:tcPr>
          <w:p w14:paraId="4CF8C8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5" w:type="dxa"/>
            <w:shd w:val="clear" w:color="auto" w:fill="auto"/>
            <w:noWrap/>
            <w:vAlign w:val="center"/>
          </w:tcPr>
          <w:p w14:paraId="2E3E0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区级</w:t>
            </w:r>
          </w:p>
        </w:tc>
        <w:tc>
          <w:tcPr>
            <w:tcW w:w="1560" w:type="dxa"/>
            <w:shd w:val="clear" w:color="auto" w:fill="auto"/>
            <w:noWrap/>
            <w:vAlign w:val="center"/>
          </w:tcPr>
          <w:p w14:paraId="074A06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黑政函【2011】80号</w:t>
            </w:r>
          </w:p>
        </w:tc>
      </w:tr>
      <w:tr w14:paraId="265C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1" w:hRule="atLeast"/>
        </w:trPr>
        <w:tc>
          <w:tcPr>
            <w:tcW w:w="397" w:type="dxa"/>
            <w:vMerge w:val="restart"/>
            <w:shd w:val="clear" w:color="auto" w:fill="auto"/>
            <w:noWrap/>
            <w:vAlign w:val="center"/>
          </w:tcPr>
          <w:p w14:paraId="31A6A4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07" w:type="dxa"/>
            <w:vMerge w:val="restart"/>
            <w:shd w:val="clear" w:color="auto" w:fill="auto"/>
            <w:noWrap/>
            <w:vAlign w:val="center"/>
          </w:tcPr>
          <w:p w14:paraId="4B504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上甘岭镇饮用水水源保护区</w:t>
            </w:r>
          </w:p>
        </w:tc>
        <w:tc>
          <w:tcPr>
            <w:tcW w:w="578" w:type="dxa"/>
            <w:vMerge w:val="restart"/>
            <w:shd w:val="clear" w:color="auto" w:fill="auto"/>
            <w:noWrap/>
            <w:vAlign w:val="center"/>
          </w:tcPr>
          <w:p w14:paraId="5C4848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611" w:type="dxa"/>
            <w:vMerge w:val="restart"/>
            <w:shd w:val="clear" w:color="auto" w:fill="auto"/>
            <w:noWrap/>
            <w:vAlign w:val="center"/>
          </w:tcPr>
          <w:p w14:paraId="08AC6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1048" w:type="dxa"/>
            <w:vMerge w:val="restart"/>
            <w:shd w:val="clear" w:color="auto" w:fill="auto"/>
            <w:noWrap/>
            <w:vAlign w:val="center"/>
          </w:tcPr>
          <w:p w14:paraId="04103E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上甘岭镇</w:t>
            </w:r>
          </w:p>
        </w:tc>
        <w:tc>
          <w:tcPr>
            <w:tcW w:w="1549" w:type="dxa"/>
            <w:shd w:val="clear" w:color="auto" w:fill="auto"/>
            <w:noWrap/>
            <w:vAlign w:val="center"/>
          </w:tcPr>
          <w:p w14:paraId="0AAD0E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128°57' 47.800" E</w:t>
            </w:r>
          </w:p>
        </w:tc>
        <w:tc>
          <w:tcPr>
            <w:tcW w:w="1407" w:type="dxa"/>
            <w:shd w:val="clear" w:color="auto" w:fill="auto"/>
            <w:noWrap/>
            <w:vAlign w:val="center"/>
          </w:tcPr>
          <w:p w14:paraId="2C2775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 58' 35.100" N</w:t>
            </w:r>
          </w:p>
        </w:tc>
        <w:tc>
          <w:tcPr>
            <w:tcW w:w="537" w:type="dxa"/>
            <w:shd w:val="clear" w:color="auto" w:fill="auto"/>
            <w:noWrap/>
            <w:vAlign w:val="center"/>
          </w:tcPr>
          <w:p w14:paraId="2B0CA2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sk2</w:t>
            </w:r>
          </w:p>
        </w:tc>
        <w:tc>
          <w:tcPr>
            <w:tcW w:w="685" w:type="dxa"/>
            <w:vMerge w:val="restart"/>
            <w:shd w:val="clear" w:color="auto" w:fill="auto"/>
            <w:noWrap/>
            <w:vAlign w:val="center"/>
          </w:tcPr>
          <w:p w14:paraId="04D4337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乡镇级</w:t>
            </w:r>
          </w:p>
        </w:tc>
        <w:tc>
          <w:tcPr>
            <w:tcW w:w="1560" w:type="dxa"/>
            <w:vMerge w:val="restart"/>
            <w:shd w:val="clear" w:color="auto" w:fill="auto"/>
            <w:noWrap/>
            <w:vAlign w:val="center"/>
          </w:tcPr>
          <w:p w14:paraId="7C005C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黑政函〔2021〕26号</w:t>
            </w:r>
          </w:p>
        </w:tc>
      </w:tr>
      <w:tr w14:paraId="05A1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trPr>
        <w:tc>
          <w:tcPr>
            <w:tcW w:w="397" w:type="dxa"/>
            <w:vMerge w:val="continue"/>
            <w:shd w:val="clear" w:color="auto" w:fill="auto"/>
            <w:noWrap/>
            <w:vAlign w:val="center"/>
          </w:tcPr>
          <w:p w14:paraId="07F9344D">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7FF7A727">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336BEFC9">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26FA12DF">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noWrap/>
            <w:vAlign w:val="center"/>
          </w:tcPr>
          <w:p w14:paraId="02940489">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37D3BB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 57' 56.200" E</w:t>
            </w:r>
          </w:p>
        </w:tc>
        <w:tc>
          <w:tcPr>
            <w:tcW w:w="1407" w:type="dxa"/>
            <w:shd w:val="clear" w:color="auto" w:fill="auto"/>
            <w:noWrap/>
            <w:vAlign w:val="center"/>
          </w:tcPr>
          <w:p w14:paraId="75C8D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 58' 36.300" N</w:t>
            </w:r>
          </w:p>
        </w:tc>
        <w:tc>
          <w:tcPr>
            <w:tcW w:w="537" w:type="dxa"/>
            <w:shd w:val="clear" w:color="auto" w:fill="auto"/>
            <w:noWrap/>
            <w:vAlign w:val="center"/>
          </w:tcPr>
          <w:p w14:paraId="31B5B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sk3</w:t>
            </w:r>
          </w:p>
        </w:tc>
        <w:tc>
          <w:tcPr>
            <w:tcW w:w="685" w:type="dxa"/>
            <w:vMerge w:val="continue"/>
            <w:shd w:val="clear" w:color="auto" w:fill="auto"/>
            <w:noWrap/>
            <w:vAlign w:val="center"/>
          </w:tcPr>
          <w:p w14:paraId="6D3CB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560" w:type="dxa"/>
            <w:vMerge w:val="continue"/>
            <w:shd w:val="clear" w:color="auto" w:fill="auto"/>
            <w:noWrap/>
            <w:vAlign w:val="center"/>
          </w:tcPr>
          <w:p w14:paraId="3659CFAE">
            <w:pPr>
              <w:jc w:val="center"/>
              <w:rPr>
                <w:rFonts w:hint="eastAsia" w:ascii="宋体" w:hAnsi="宋体" w:eastAsia="宋体" w:cs="宋体"/>
                <w:i w:val="0"/>
                <w:iCs w:val="0"/>
                <w:color w:val="000000"/>
                <w:sz w:val="21"/>
                <w:szCs w:val="21"/>
                <w:u w:val="none"/>
              </w:rPr>
            </w:pPr>
          </w:p>
        </w:tc>
      </w:tr>
      <w:tr w14:paraId="2398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7" w:type="dxa"/>
            <w:vMerge w:val="continue"/>
            <w:shd w:val="clear" w:color="auto" w:fill="auto"/>
            <w:noWrap/>
            <w:vAlign w:val="center"/>
          </w:tcPr>
          <w:p w14:paraId="176AE18F">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2C5C23C5">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2A7C0F54">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3F220FAE">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noWrap/>
            <w:vAlign w:val="center"/>
          </w:tcPr>
          <w:p w14:paraId="7979364B">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1A3AC1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 58' 7.200" E</w:t>
            </w:r>
          </w:p>
        </w:tc>
        <w:tc>
          <w:tcPr>
            <w:tcW w:w="1407" w:type="dxa"/>
            <w:shd w:val="clear" w:color="auto" w:fill="auto"/>
            <w:noWrap/>
            <w:vAlign w:val="center"/>
          </w:tcPr>
          <w:p w14:paraId="0F468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 58' 40.900" N</w:t>
            </w:r>
          </w:p>
        </w:tc>
        <w:tc>
          <w:tcPr>
            <w:tcW w:w="537" w:type="dxa"/>
            <w:shd w:val="clear" w:color="auto" w:fill="auto"/>
            <w:noWrap/>
            <w:vAlign w:val="center"/>
          </w:tcPr>
          <w:p w14:paraId="79D53C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sk4</w:t>
            </w:r>
          </w:p>
        </w:tc>
        <w:tc>
          <w:tcPr>
            <w:tcW w:w="685" w:type="dxa"/>
            <w:vMerge w:val="continue"/>
            <w:shd w:val="clear" w:color="auto" w:fill="auto"/>
            <w:noWrap/>
            <w:vAlign w:val="center"/>
          </w:tcPr>
          <w:p w14:paraId="4C4A07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560" w:type="dxa"/>
            <w:vMerge w:val="continue"/>
            <w:shd w:val="clear" w:color="auto" w:fill="auto"/>
            <w:noWrap/>
            <w:vAlign w:val="center"/>
          </w:tcPr>
          <w:p w14:paraId="3A3DDDBF">
            <w:pPr>
              <w:jc w:val="center"/>
              <w:rPr>
                <w:rFonts w:hint="eastAsia" w:ascii="宋体" w:hAnsi="宋体" w:eastAsia="宋体" w:cs="宋体"/>
                <w:i w:val="0"/>
                <w:iCs w:val="0"/>
                <w:color w:val="000000"/>
                <w:sz w:val="21"/>
                <w:szCs w:val="21"/>
                <w:u w:val="none"/>
              </w:rPr>
            </w:pPr>
          </w:p>
        </w:tc>
      </w:tr>
      <w:tr w14:paraId="1C9E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7" w:type="dxa"/>
            <w:vMerge w:val="continue"/>
            <w:shd w:val="clear" w:color="auto" w:fill="auto"/>
            <w:noWrap/>
            <w:vAlign w:val="center"/>
          </w:tcPr>
          <w:p w14:paraId="4D563F3A">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544267B0">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029FEAC5">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0FBE3E43">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noWrap/>
            <w:vAlign w:val="center"/>
          </w:tcPr>
          <w:p w14:paraId="63986FB8">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50959D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128° 58' 07.15"</w:t>
            </w:r>
          </w:p>
        </w:tc>
        <w:tc>
          <w:tcPr>
            <w:tcW w:w="1407" w:type="dxa"/>
            <w:shd w:val="clear" w:color="auto" w:fill="auto"/>
            <w:noWrap/>
            <w:vAlign w:val="center"/>
          </w:tcPr>
          <w:p w14:paraId="28C7D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 58' 42.46"</w:t>
            </w:r>
          </w:p>
        </w:tc>
        <w:tc>
          <w:tcPr>
            <w:tcW w:w="537" w:type="dxa"/>
            <w:shd w:val="clear" w:color="auto" w:fill="auto"/>
            <w:noWrap/>
            <w:vAlign w:val="center"/>
          </w:tcPr>
          <w:p w14:paraId="61719D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w:t>
            </w:r>
          </w:p>
        </w:tc>
        <w:tc>
          <w:tcPr>
            <w:tcW w:w="685" w:type="dxa"/>
            <w:vMerge w:val="continue"/>
            <w:shd w:val="clear" w:color="auto" w:fill="auto"/>
            <w:noWrap/>
            <w:vAlign w:val="center"/>
          </w:tcPr>
          <w:p w14:paraId="7DB827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60" w:type="dxa"/>
            <w:vMerge w:val="continue"/>
            <w:shd w:val="clear" w:color="auto" w:fill="auto"/>
            <w:noWrap/>
            <w:vAlign w:val="center"/>
          </w:tcPr>
          <w:p w14:paraId="5A4EE1DF">
            <w:pPr>
              <w:jc w:val="center"/>
              <w:rPr>
                <w:rFonts w:hint="eastAsia" w:ascii="宋体" w:hAnsi="宋体" w:eastAsia="宋体" w:cs="宋体"/>
                <w:i w:val="0"/>
                <w:iCs w:val="0"/>
                <w:color w:val="000000"/>
                <w:sz w:val="21"/>
                <w:szCs w:val="21"/>
                <w:u w:val="none"/>
              </w:rPr>
            </w:pPr>
          </w:p>
        </w:tc>
      </w:tr>
      <w:tr w14:paraId="4804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7" w:type="dxa"/>
            <w:vMerge w:val="continue"/>
            <w:shd w:val="clear" w:color="auto" w:fill="auto"/>
            <w:noWrap/>
            <w:vAlign w:val="center"/>
          </w:tcPr>
          <w:p w14:paraId="124C9FBA">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35FF54C9">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13BFB0C9">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57842A96">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noWrap/>
            <w:vAlign w:val="center"/>
          </w:tcPr>
          <w:p w14:paraId="3F3CDF4A">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0D2008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 58' 21.00"</w:t>
            </w:r>
          </w:p>
        </w:tc>
        <w:tc>
          <w:tcPr>
            <w:tcW w:w="1407" w:type="dxa"/>
            <w:shd w:val="clear" w:color="auto" w:fill="auto"/>
            <w:noWrap/>
            <w:vAlign w:val="center"/>
          </w:tcPr>
          <w:p w14:paraId="1BE258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 58' 39.12"</w:t>
            </w:r>
          </w:p>
        </w:tc>
        <w:tc>
          <w:tcPr>
            <w:tcW w:w="537" w:type="dxa"/>
            <w:shd w:val="clear" w:color="auto" w:fill="auto"/>
            <w:noWrap/>
            <w:vAlign w:val="center"/>
          </w:tcPr>
          <w:p w14:paraId="7B919F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w:t>
            </w:r>
          </w:p>
        </w:tc>
        <w:tc>
          <w:tcPr>
            <w:tcW w:w="685" w:type="dxa"/>
            <w:vMerge w:val="continue"/>
            <w:shd w:val="clear" w:color="auto" w:fill="auto"/>
            <w:noWrap/>
            <w:vAlign w:val="center"/>
          </w:tcPr>
          <w:p w14:paraId="71F8EA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60" w:type="dxa"/>
            <w:vMerge w:val="continue"/>
            <w:shd w:val="clear" w:color="auto" w:fill="auto"/>
            <w:noWrap/>
            <w:vAlign w:val="center"/>
          </w:tcPr>
          <w:p w14:paraId="2DD2D441">
            <w:pPr>
              <w:jc w:val="center"/>
              <w:rPr>
                <w:rFonts w:hint="eastAsia" w:ascii="宋体" w:hAnsi="宋体" w:eastAsia="宋体" w:cs="宋体"/>
                <w:i w:val="0"/>
                <w:iCs w:val="0"/>
                <w:color w:val="000000"/>
                <w:sz w:val="21"/>
                <w:szCs w:val="21"/>
                <w:u w:val="none"/>
              </w:rPr>
            </w:pPr>
          </w:p>
        </w:tc>
      </w:tr>
      <w:tr w14:paraId="6285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97" w:type="dxa"/>
            <w:vMerge w:val="continue"/>
            <w:shd w:val="clear" w:color="auto" w:fill="auto"/>
            <w:noWrap/>
            <w:vAlign w:val="center"/>
          </w:tcPr>
          <w:p w14:paraId="2AB2BC84">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61A5E07A">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5F770246">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3669DF40">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noWrap/>
            <w:vAlign w:val="center"/>
          </w:tcPr>
          <w:p w14:paraId="1493FC59">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37B8F8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 58' 31.71"</w:t>
            </w:r>
          </w:p>
        </w:tc>
        <w:tc>
          <w:tcPr>
            <w:tcW w:w="1407" w:type="dxa"/>
            <w:shd w:val="clear" w:color="auto" w:fill="auto"/>
            <w:noWrap/>
            <w:vAlign w:val="center"/>
          </w:tcPr>
          <w:p w14:paraId="3A10E1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 58' 36.27"</w:t>
            </w:r>
          </w:p>
        </w:tc>
        <w:tc>
          <w:tcPr>
            <w:tcW w:w="537" w:type="dxa"/>
            <w:shd w:val="clear" w:color="auto" w:fill="auto"/>
            <w:noWrap/>
            <w:vAlign w:val="center"/>
          </w:tcPr>
          <w:p w14:paraId="59973C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w:t>
            </w:r>
          </w:p>
        </w:tc>
        <w:tc>
          <w:tcPr>
            <w:tcW w:w="685" w:type="dxa"/>
            <w:vMerge w:val="continue"/>
            <w:shd w:val="clear" w:color="auto" w:fill="auto"/>
            <w:noWrap/>
            <w:vAlign w:val="center"/>
          </w:tcPr>
          <w:p w14:paraId="6F83D7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60" w:type="dxa"/>
            <w:vMerge w:val="continue"/>
            <w:shd w:val="clear" w:color="auto" w:fill="auto"/>
            <w:noWrap/>
            <w:vAlign w:val="center"/>
          </w:tcPr>
          <w:p w14:paraId="0C7CE8A2">
            <w:pPr>
              <w:jc w:val="center"/>
              <w:rPr>
                <w:rFonts w:hint="eastAsia" w:ascii="宋体" w:hAnsi="宋体" w:eastAsia="宋体" w:cs="宋体"/>
                <w:i w:val="0"/>
                <w:iCs w:val="0"/>
                <w:color w:val="000000"/>
                <w:sz w:val="21"/>
                <w:szCs w:val="21"/>
                <w:u w:val="none"/>
              </w:rPr>
            </w:pPr>
          </w:p>
        </w:tc>
      </w:tr>
      <w:tr w14:paraId="522E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7" w:type="dxa"/>
            <w:vMerge w:val="restart"/>
            <w:shd w:val="clear" w:color="auto" w:fill="auto"/>
            <w:noWrap/>
            <w:vAlign w:val="center"/>
          </w:tcPr>
          <w:p w14:paraId="2063E6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07" w:type="dxa"/>
            <w:vMerge w:val="restart"/>
            <w:shd w:val="clear" w:color="auto" w:fill="auto"/>
            <w:noWrap/>
            <w:vAlign w:val="center"/>
          </w:tcPr>
          <w:p w14:paraId="5C3406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伊春市友好区加工厂水源</w:t>
            </w:r>
          </w:p>
        </w:tc>
        <w:tc>
          <w:tcPr>
            <w:tcW w:w="578" w:type="dxa"/>
            <w:vMerge w:val="restart"/>
            <w:shd w:val="clear" w:color="auto" w:fill="auto"/>
            <w:noWrap/>
            <w:vAlign w:val="center"/>
          </w:tcPr>
          <w:p w14:paraId="490D54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11" w:type="dxa"/>
            <w:vMerge w:val="restart"/>
            <w:shd w:val="clear" w:color="auto" w:fill="auto"/>
            <w:noWrap/>
            <w:vAlign w:val="center"/>
          </w:tcPr>
          <w:p w14:paraId="232DC2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1048" w:type="dxa"/>
            <w:vMerge w:val="restart"/>
            <w:shd w:val="clear" w:color="auto" w:fill="auto"/>
            <w:vAlign w:val="center"/>
          </w:tcPr>
          <w:p w14:paraId="363AFF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友好街道、铁林街道、双子河街道</w:t>
            </w:r>
          </w:p>
        </w:tc>
        <w:tc>
          <w:tcPr>
            <w:tcW w:w="1549" w:type="dxa"/>
            <w:shd w:val="clear" w:color="auto" w:fill="auto"/>
            <w:noWrap/>
            <w:vAlign w:val="center"/>
          </w:tcPr>
          <w:p w14:paraId="41CC26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 48' 17.198" E</w:t>
            </w:r>
          </w:p>
        </w:tc>
        <w:tc>
          <w:tcPr>
            <w:tcW w:w="1407" w:type="dxa"/>
            <w:shd w:val="clear" w:color="auto" w:fill="auto"/>
            <w:noWrap/>
            <w:vAlign w:val="center"/>
          </w:tcPr>
          <w:p w14:paraId="7C50CA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 51' 31.263" N</w:t>
            </w:r>
          </w:p>
        </w:tc>
        <w:tc>
          <w:tcPr>
            <w:tcW w:w="537" w:type="dxa"/>
            <w:shd w:val="clear" w:color="auto" w:fill="auto"/>
            <w:noWrap/>
            <w:vAlign w:val="center"/>
          </w:tcPr>
          <w:p w14:paraId="7CF72D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85" w:type="dxa"/>
            <w:vMerge w:val="restart"/>
            <w:shd w:val="clear" w:color="auto" w:fill="auto"/>
            <w:noWrap/>
            <w:vAlign w:val="center"/>
          </w:tcPr>
          <w:p w14:paraId="03B8CD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区级</w:t>
            </w:r>
          </w:p>
          <w:p w14:paraId="726156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560" w:type="dxa"/>
            <w:vMerge w:val="restart"/>
            <w:shd w:val="clear" w:color="auto" w:fill="auto"/>
            <w:noWrap/>
            <w:vAlign w:val="center"/>
          </w:tcPr>
          <w:p w14:paraId="7E0045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黑政函【2010】109号</w:t>
            </w:r>
          </w:p>
        </w:tc>
      </w:tr>
      <w:tr w14:paraId="603D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6" w:hRule="atLeast"/>
        </w:trPr>
        <w:tc>
          <w:tcPr>
            <w:tcW w:w="397" w:type="dxa"/>
            <w:vMerge w:val="continue"/>
            <w:shd w:val="clear" w:color="auto" w:fill="auto"/>
            <w:noWrap/>
            <w:vAlign w:val="center"/>
          </w:tcPr>
          <w:p w14:paraId="56DC6842">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36381D44">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67996D95">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11854BEC">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vAlign w:val="center"/>
          </w:tcPr>
          <w:p w14:paraId="54C075EC">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6F5302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 48' 23.838" E</w:t>
            </w:r>
          </w:p>
        </w:tc>
        <w:tc>
          <w:tcPr>
            <w:tcW w:w="1407" w:type="dxa"/>
            <w:shd w:val="clear" w:color="auto" w:fill="auto"/>
            <w:noWrap/>
            <w:vAlign w:val="center"/>
          </w:tcPr>
          <w:p w14:paraId="404D7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 51' 25.559" N</w:t>
            </w:r>
          </w:p>
        </w:tc>
        <w:tc>
          <w:tcPr>
            <w:tcW w:w="537" w:type="dxa"/>
            <w:shd w:val="clear" w:color="auto" w:fill="auto"/>
            <w:noWrap/>
            <w:vAlign w:val="center"/>
          </w:tcPr>
          <w:p w14:paraId="2EF586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5" w:type="dxa"/>
            <w:vMerge w:val="continue"/>
            <w:shd w:val="clear" w:color="auto" w:fill="auto"/>
            <w:noWrap/>
            <w:vAlign w:val="center"/>
          </w:tcPr>
          <w:p w14:paraId="67C027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560" w:type="dxa"/>
            <w:vMerge w:val="continue"/>
            <w:shd w:val="clear" w:color="auto" w:fill="auto"/>
            <w:noWrap/>
            <w:vAlign w:val="center"/>
          </w:tcPr>
          <w:p w14:paraId="172BD7F7">
            <w:pPr>
              <w:jc w:val="center"/>
              <w:rPr>
                <w:rFonts w:hint="eastAsia" w:ascii="宋体" w:hAnsi="宋体" w:eastAsia="宋体" w:cs="宋体"/>
                <w:i w:val="0"/>
                <w:iCs w:val="0"/>
                <w:color w:val="000000"/>
                <w:sz w:val="21"/>
                <w:szCs w:val="21"/>
                <w:u w:val="none"/>
              </w:rPr>
            </w:pPr>
          </w:p>
        </w:tc>
      </w:tr>
      <w:tr w14:paraId="7D82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397" w:type="dxa"/>
            <w:vMerge w:val="continue"/>
            <w:shd w:val="clear" w:color="auto" w:fill="auto"/>
            <w:noWrap/>
            <w:vAlign w:val="center"/>
          </w:tcPr>
          <w:p w14:paraId="5892D263">
            <w:pPr>
              <w:jc w:val="center"/>
              <w:rPr>
                <w:rFonts w:hint="eastAsia" w:ascii="宋体" w:hAnsi="宋体" w:eastAsia="宋体" w:cs="宋体"/>
                <w:i w:val="0"/>
                <w:iCs w:val="0"/>
                <w:color w:val="000000"/>
                <w:sz w:val="21"/>
                <w:szCs w:val="21"/>
                <w:u w:val="none"/>
              </w:rPr>
            </w:pPr>
          </w:p>
        </w:tc>
        <w:tc>
          <w:tcPr>
            <w:tcW w:w="1407" w:type="dxa"/>
            <w:vMerge w:val="continue"/>
            <w:shd w:val="clear" w:color="auto" w:fill="auto"/>
            <w:noWrap/>
            <w:vAlign w:val="center"/>
          </w:tcPr>
          <w:p w14:paraId="27B7F50E">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1A85F35E">
            <w:pPr>
              <w:jc w:val="center"/>
              <w:rPr>
                <w:rFonts w:hint="eastAsia" w:ascii="宋体" w:hAnsi="宋体" w:eastAsia="宋体" w:cs="宋体"/>
                <w:i w:val="0"/>
                <w:iCs w:val="0"/>
                <w:color w:val="000000"/>
                <w:sz w:val="21"/>
                <w:szCs w:val="21"/>
                <w:u w:val="none"/>
              </w:rPr>
            </w:pPr>
          </w:p>
        </w:tc>
        <w:tc>
          <w:tcPr>
            <w:tcW w:w="611" w:type="dxa"/>
            <w:vMerge w:val="continue"/>
            <w:shd w:val="clear" w:color="auto" w:fill="auto"/>
            <w:noWrap/>
            <w:vAlign w:val="center"/>
          </w:tcPr>
          <w:p w14:paraId="36B991A3">
            <w:pPr>
              <w:jc w:val="center"/>
              <w:rPr>
                <w:rFonts w:hint="eastAsia" w:ascii="宋体" w:hAnsi="宋体" w:eastAsia="宋体" w:cs="宋体"/>
                <w:i w:val="0"/>
                <w:iCs w:val="0"/>
                <w:color w:val="000000"/>
                <w:sz w:val="21"/>
                <w:szCs w:val="21"/>
                <w:u w:val="none"/>
              </w:rPr>
            </w:pPr>
          </w:p>
        </w:tc>
        <w:tc>
          <w:tcPr>
            <w:tcW w:w="1048" w:type="dxa"/>
            <w:vMerge w:val="continue"/>
            <w:shd w:val="clear" w:color="auto" w:fill="auto"/>
            <w:vAlign w:val="center"/>
          </w:tcPr>
          <w:p w14:paraId="168FA6D4">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05475E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 48' 25.429" E</w:t>
            </w:r>
          </w:p>
        </w:tc>
        <w:tc>
          <w:tcPr>
            <w:tcW w:w="1407" w:type="dxa"/>
            <w:shd w:val="clear" w:color="auto" w:fill="auto"/>
            <w:noWrap/>
            <w:vAlign w:val="center"/>
          </w:tcPr>
          <w:p w14:paraId="1E2568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 51' 19.476" N</w:t>
            </w:r>
          </w:p>
        </w:tc>
        <w:tc>
          <w:tcPr>
            <w:tcW w:w="537" w:type="dxa"/>
            <w:shd w:val="clear" w:color="auto" w:fill="auto"/>
            <w:noWrap/>
            <w:vAlign w:val="center"/>
          </w:tcPr>
          <w:p w14:paraId="1F2566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85" w:type="dxa"/>
            <w:vMerge w:val="continue"/>
            <w:shd w:val="clear" w:color="auto" w:fill="auto"/>
            <w:noWrap/>
            <w:vAlign w:val="center"/>
          </w:tcPr>
          <w:p w14:paraId="21956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560" w:type="dxa"/>
            <w:vMerge w:val="continue"/>
            <w:shd w:val="clear" w:color="auto" w:fill="auto"/>
            <w:noWrap/>
            <w:vAlign w:val="center"/>
          </w:tcPr>
          <w:p w14:paraId="358CFB3D">
            <w:pPr>
              <w:jc w:val="center"/>
              <w:rPr>
                <w:rFonts w:hint="eastAsia" w:ascii="宋体" w:hAnsi="宋体" w:eastAsia="宋体" w:cs="宋体"/>
                <w:i w:val="0"/>
                <w:iCs w:val="0"/>
                <w:color w:val="000000"/>
                <w:sz w:val="21"/>
                <w:szCs w:val="21"/>
                <w:u w:val="none"/>
              </w:rPr>
            </w:pPr>
          </w:p>
        </w:tc>
      </w:tr>
      <w:tr w14:paraId="5322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397" w:type="dxa"/>
            <w:vMerge w:val="restart"/>
            <w:shd w:val="clear" w:color="auto" w:fill="auto"/>
            <w:noWrap/>
            <w:vAlign w:val="center"/>
          </w:tcPr>
          <w:p w14:paraId="177341A9">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1407" w:type="dxa"/>
            <w:vMerge w:val="restart"/>
            <w:shd w:val="clear" w:color="auto" w:fill="auto"/>
            <w:noWrap/>
            <w:vAlign w:val="center"/>
          </w:tcPr>
          <w:p w14:paraId="100E9C7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友好区第二饮用水水源地</w:t>
            </w:r>
          </w:p>
        </w:tc>
        <w:tc>
          <w:tcPr>
            <w:tcW w:w="578" w:type="dxa"/>
            <w:vMerge w:val="restart"/>
            <w:shd w:val="clear" w:color="auto" w:fill="auto"/>
            <w:noWrap/>
            <w:vAlign w:val="center"/>
          </w:tcPr>
          <w:p w14:paraId="7453521E">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w:t>
            </w:r>
          </w:p>
        </w:tc>
        <w:tc>
          <w:tcPr>
            <w:tcW w:w="611" w:type="dxa"/>
            <w:vMerge w:val="restart"/>
            <w:shd w:val="clear" w:color="auto" w:fill="auto"/>
            <w:noWrap/>
            <w:vAlign w:val="center"/>
          </w:tcPr>
          <w:p w14:paraId="5E7A515D">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一级</w:t>
            </w:r>
          </w:p>
        </w:tc>
        <w:tc>
          <w:tcPr>
            <w:tcW w:w="1048" w:type="dxa"/>
            <w:vMerge w:val="restart"/>
            <w:shd w:val="clear" w:color="auto" w:fill="auto"/>
            <w:vAlign w:val="center"/>
          </w:tcPr>
          <w:p w14:paraId="297B937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友好街道、铁林街道</w:t>
            </w:r>
          </w:p>
        </w:tc>
        <w:tc>
          <w:tcPr>
            <w:tcW w:w="1549" w:type="dxa"/>
            <w:shd w:val="clear" w:color="auto" w:fill="auto"/>
            <w:noWrap/>
            <w:vAlign w:val="center"/>
          </w:tcPr>
          <w:p w14:paraId="4A890C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 45' 55.01"</w:t>
            </w:r>
          </w:p>
        </w:tc>
        <w:tc>
          <w:tcPr>
            <w:tcW w:w="1407" w:type="dxa"/>
            <w:shd w:val="clear" w:color="auto" w:fill="auto"/>
            <w:noWrap/>
            <w:vAlign w:val="center"/>
          </w:tcPr>
          <w:p w14:paraId="75FAA8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47°51’54.37”</w:t>
            </w:r>
          </w:p>
        </w:tc>
        <w:tc>
          <w:tcPr>
            <w:tcW w:w="537" w:type="dxa"/>
            <w:shd w:val="clear" w:color="auto" w:fill="auto"/>
            <w:noWrap/>
            <w:vAlign w:val="center"/>
          </w:tcPr>
          <w:p w14:paraId="10D767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685" w:type="dxa"/>
            <w:vMerge w:val="restart"/>
            <w:shd w:val="clear" w:color="auto" w:fill="auto"/>
            <w:noWrap/>
            <w:vAlign w:val="center"/>
          </w:tcPr>
          <w:p w14:paraId="5AE2FB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区级</w:t>
            </w:r>
          </w:p>
        </w:tc>
        <w:tc>
          <w:tcPr>
            <w:tcW w:w="1560" w:type="dxa"/>
            <w:vMerge w:val="restart"/>
            <w:shd w:val="clear" w:color="auto" w:fill="auto"/>
            <w:noWrap/>
            <w:vAlign w:val="center"/>
          </w:tcPr>
          <w:p w14:paraId="3160418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黑政函[2022]3号</w:t>
            </w:r>
          </w:p>
        </w:tc>
      </w:tr>
      <w:tr w14:paraId="215C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1" w:hRule="atLeast"/>
        </w:trPr>
        <w:tc>
          <w:tcPr>
            <w:tcW w:w="397" w:type="dxa"/>
            <w:vMerge w:val="continue"/>
            <w:shd w:val="clear" w:color="auto" w:fill="auto"/>
            <w:noWrap/>
            <w:vAlign w:val="center"/>
          </w:tcPr>
          <w:p w14:paraId="793A6218">
            <w:pPr>
              <w:jc w:val="center"/>
              <w:rPr>
                <w:rFonts w:hint="eastAsia" w:ascii="宋体" w:hAnsi="宋体" w:cs="宋体"/>
                <w:i w:val="0"/>
                <w:iCs w:val="0"/>
                <w:color w:val="000000"/>
                <w:sz w:val="21"/>
                <w:szCs w:val="21"/>
                <w:u w:val="none"/>
                <w:lang w:val="en-US" w:eastAsia="zh-CN"/>
              </w:rPr>
            </w:pPr>
          </w:p>
        </w:tc>
        <w:tc>
          <w:tcPr>
            <w:tcW w:w="1407" w:type="dxa"/>
            <w:vMerge w:val="continue"/>
            <w:shd w:val="clear" w:color="auto" w:fill="auto"/>
            <w:noWrap/>
            <w:vAlign w:val="center"/>
          </w:tcPr>
          <w:p w14:paraId="243C571F">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5B363CE3">
            <w:pPr>
              <w:jc w:val="center"/>
              <w:rPr>
                <w:rFonts w:hint="eastAsia" w:ascii="宋体" w:hAnsi="宋体" w:cs="宋体"/>
                <w:i w:val="0"/>
                <w:iCs w:val="0"/>
                <w:color w:val="000000"/>
                <w:sz w:val="21"/>
                <w:szCs w:val="21"/>
                <w:u w:val="none"/>
                <w:lang w:val="en-US" w:eastAsia="zh-CN"/>
              </w:rPr>
            </w:pPr>
          </w:p>
        </w:tc>
        <w:tc>
          <w:tcPr>
            <w:tcW w:w="611" w:type="dxa"/>
            <w:vMerge w:val="continue"/>
            <w:shd w:val="clear" w:color="auto" w:fill="auto"/>
            <w:noWrap/>
            <w:vAlign w:val="center"/>
          </w:tcPr>
          <w:p w14:paraId="1AFCE930">
            <w:pPr>
              <w:jc w:val="center"/>
              <w:rPr>
                <w:rFonts w:hint="eastAsia" w:ascii="宋体" w:hAnsi="宋体" w:cs="宋体"/>
                <w:i w:val="0"/>
                <w:iCs w:val="0"/>
                <w:color w:val="000000"/>
                <w:sz w:val="21"/>
                <w:szCs w:val="21"/>
                <w:u w:val="none"/>
                <w:lang w:val="en-US" w:eastAsia="zh-CN"/>
              </w:rPr>
            </w:pPr>
          </w:p>
        </w:tc>
        <w:tc>
          <w:tcPr>
            <w:tcW w:w="1048" w:type="dxa"/>
            <w:vMerge w:val="continue"/>
            <w:shd w:val="clear" w:color="auto" w:fill="auto"/>
            <w:vAlign w:val="center"/>
          </w:tcPr>
          <w:p w14:paraId="4DCF9E4B">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61AE8C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128°45’44.05"</w:t>
            </w:r>
          </w:p>
        </w:tc>
        <w:tc>
          <w:tcPr>
            <w:tcW w:w="1407" w:type="dxa"/>
            <w:shd w:val="clear" w:color="auto" w:fill="auto"/>
            <w:noWrap/>
            <w:vAlign w:val="center"/>
          </w:tcPr>
          <w:p w14:paraId="316BB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 52 10.12"</w:t>
            </w:r>
          </w:p>
        </w:tc>
        <w:tc>
          <w:tcPr>
            <w:tcW w:w="537" w:type="dxa"/>
            <w:shd w:val="clear" w:color="auto" w:fill="auto"/>
            <w:noWrap/>
            <w:vAlign w:val="center"/>
          </w:tcPr>
          <w:p w14:paraId="3BBC69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685" w:type="dxa"/>
            <w:vMerge w:val="continue"/>
            <w:shd w:val="clear" w:color="auto" w:fill="auto"/>
            <w:noWrap/>
            <w:vAlign w:val="center"/>
          </w:tcPr>
          <w:p w14:paraId="52ECC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60" w:type="dxa"/>
            <w:vMerge w:val="continue"/>
            <w:shd w:val="clear" w:color="auto" w:fill="auto"/>
            <w:noWrap/>
            <w:vAlign w:val="center"/>
          </w:tcPr>
          <w:p w14:paraId="75964751">
            <w:pPr>
              <w:jc w:val="center"/>
              <w:rPr>
                <w:rFonts w:hint="eastAsia" w:ascii="宋体" w:hAnsi="宋体" w:eastAsia="宋体" w:cs="宋体"/>
                <w:i w:val="0"/>
                <w:iCs w:val="0"/>
                <w:color w:val="000000"/>
                <w:sz w:val="21"/>
                <w:szCs w:val="21"/>
                <w:u w:val="none"/>
              </w:rPr>
            </w:pPr>
          </w:p>
        </w:tc>
      </w:tr>
      <w:tr w14:paraId="1620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397" w:type="dxa"/>
            <w:vMerge w:val="continue"/>
            <w:shd w:val="clear" w:color="auto" w:fill="auto"/>
            <w:noWrap/>
            <w:vAlign w:val="center"/>
          </w:tcPr>
          <w:p w14:paraId="080B85A8">
            <w:pPr>
              <w:jc w:val="center"/>
              <w:rPr>
                <w:rFonts w:hint="eastAsia" w:ascii="宋体" w:hAnsi="宋体" w:cs="宋体"/>
                <w:i w:val="0"/>
                <w:iCs w:val="0"/>
                <w:color w:val="000000"/>
                <w:sz w:val="21"/>
                <w:szCs w:val="21"/>
                <w:u w:val="none"/>
                <w:lang w:val="en-US" w:eastAsia="zh-CN"/>
              </w:rPr>
            </w:pPr>
          </w:p>
        </w:tc>
        <w:tc>
          <w:tcPr>
            <w:tcW w:w="1407" w:type="dxa"/>
            <w:vMerge w:val="continue"/>
            <w:shd w:val="clear" w:color="auto" w:fill="auto"/>
            <w:noWrap/>
            <w:vAlign w:val="center"/>
          </w:tcPr>
          <w:p w14:paraId="4F7F20E9">
            <w:pPr>
              <w:jc w:val="center"/>
              <w:rPr>
                <w:rFonts w:hint="eastAsia" w:ascii="宋体" w:hAnsi="宋体" w:eastAsia="宋体" w:cs="宋体"/>
                <w:i w:val="0"/>
                <w:iCs w:val="0"/>
                <w:color w:val="000000"/>
                <w:sz w:val="21"/>
                <w:szCs w:val="21"/>
                <w:u w:val="none"/>
              </w:rPr>
            </w:pPr>
          </w:p>
        </w:tc>
        <w:tc>
          <w:tcPr>
            <w:tcW w:w="578" w:type="dxa"/>
            <w:vMerge w:val="continue"/>
            <w:shd w:val="clear" w:color="auto" w:fill="auto"/>
            <w:noWrap/>
            <w:vAlign w:val="center"/>
          </w:tcPr>
          <w:p w14:paraId="3516BB9B">
            <w:pPr>
              <w:jc w:val="center"/>
              <w:rPr>
                <w:rFonts w:hint="eastAsia" w:ascii="宋体" w:hAnsi="宋体" w:cs="宋体"/>
                <w:i w:val="0"/>
                <w:iCs w:val="0"/>
                <w:color w:val="000000"/>
                <w:sz w:val="21"/>
                <w:szCs w:val="21"/>
                <w:u w:val="none"/>
                <w:lang w:val="en-US" w:eastAsia="zh-CN"/>
              </w:rPr>
            </w:pPr>
          </w:p>
        </w:tc>
        <w:tc>
          <w:tcPr>
            <w:tcW w:w="611" w:type="dxa"/>
            <w:vMerge w:val="continue"/>
            <w:shd w:val="clear" w:color="auto" w:fill="auto"/>
            <w:noWrap/>
            <w:vAlign w:val="center"/>
          </w:tcPr>
          <w:p w14:paraId="09A33F82">
            <w:pPr>
              <w:jc w:val="center"/>
              <w:rPr>
                <w:rFonts w:hint="eastAsia" w:ascii="宋体" w:hAnsi="宋体" w:cs="宋体"/>
                <w:i w:val="0"/>
                <w:iCs w:val="0"/>
                <w:color w:val="000000"/>
                <w:sz w:val="21"/>
                <w:szCs w:val="21"/>
                <w:u w:val="none"/>
                <w:lang w:val="en-US" w:eastAsia="zh-CN"/>
              </w:rPr>
            </w:pPr>
          </w:p>
        </w:tc>
        <w:tc>
          <w:tcPr>
            <w:tcW w:w="1048" w:type="dxa"/>
            <w:vMerge w:val="continue"/>
            <w:shd w:val="clear" w:color="auto" w:fill="auto"/>
            <w:vAlign w:val="center"/>
          </w:tcPr>
          <w:p w14:paraId="1A14EEE0">
            <w:pPr>
              <w:jc w:val="center"/>
              <w:rPr>
                <w:rFonts w:hint="eastAsia" w:ascii="宋体" w:hAnsi="宋体" w:eastAsia="宋体" w:cs="宋体"/>
                <w:i w:val="0"/>
                <w:iCs w:val="0"/>
                <w:color w:val="000000"/>
                <w:sz w:val="21"/>
                <w:szCs w:val="21"/>
                <w:u w:val="none"/>
              </w:rPr>
            </w:pPr>
          </w:p>
        </w:tc>
        <w:tc>
          <w:tcPr>
            <w:tcW w:w="1549" w:type="dxa"/>
            <w:shd w:val="clear" w:color="auto" w:fill="auto"/>
            <w:noWrap/>
            <w:vAlign w:val="center"/>
          </w:tcPr>
          <w:p w14:paraId="698895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128°47' 01.77"</w:t>
            </w:r>
          </w:p>
        </w:tc>
        <w:tc>
          <w:tcPr>
            <w:tcW w:w="1407" w:type="dxa"/>
            <w:shd w:val="clear" w:color="auto" w:fill="auto"/>
            <w:noWrap/>
            <w:vAlign w:val="center"/>
          </w:tcPr>
          <w:p w14:paraId="6D1007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 52' 00.11"</w:t>
            </w:r>
          </w:p>
        </w:tc>
        <w:tc>
          <w:tcPr>
            <w:tcW w:w="537" w:type="dxa"/>
            <w:shd w:val="clear" w:color="auto" w:fill="auto"/>
            <w:noWrap/>
            <w:vAlign w:val="center"/>
          </w:tcPr>
          <w:p w14:paraId="2B90DB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685" w:type="dxa"/>
            <w:vMerge w:val="continue"/>
            <w:shd w:val="clear" w:color="auto" w:fill="auto"/>
            <w:noWrap/>
            <w:vAlign w:val="center"/>
          </w:tcPr>
          <w:p w14:paraId="722A6A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60" w:type="dxa"/>
            <w:vMerge w:val="continue"/>
            <w:shd w:val="clear" w:color="auto" w:fill="auto"/>
            <w:noWrap/>
            <w:vAlign w:val="center"/>
          </w:tcPr>
          <w:p w14:paraId="06052C57">
            <w:pPr>
              <w:jc w:val="center"/>
              <w:rPr>
                <w:rFonts w:hint="eastAsia" w:ascii="宋体" w:hAnsi="宋体" w:eastAsia="宋体" w:cs="宋体"/>
                <w:i w:val="0"/>
                <w:iCs w:val="0"/>
                <w:color w:val="000000"/>
                <w:sz w:val="21"/>
                <w:szCs w:val="21"/>
                <w:u w:val="none"/>
              </w:rPr>
            </w:pPr>
          </w:p>
        </w:tc>
      </w:tr>
    </w:tbl>
    <w:p w14:paraId="06A2C872">
      <w:pPr>
        <w:pStyle w:val="11"/>
        <w:ind w:left="0" w:leftChars="0" w:firstLine="0" w:firstLineChars="0"/>
        <w:jc w:val="both"/>
        <w:rPr>
          <w:rFonts w:ascii="Times New Roman" w:hAnsi="Times New Roman" w:eastAsia="宋体" w:cs="Times New Roman"/>
          <w:sz w:val="21"/>
          <w:szCs w:val="21"/>
        </w:rPr>
      </w:pPr>
    </w:p>
    <w:p w14:paraId="383F76CD">
      <w:pPr>
        <w:pStyle w:val="11"/>
        <w:ind w:left="0" w:leftChars="0" w:firstLine="560" w:firstLineChars="200"/>
        <w:jc w:val="both"/>
        <w:rPr>
          <w:rFonts w:hint="eastAsia" w:ascii="宋体" w:hAnsi="宋体" w:cs="宋体"/>
          <w:spacing w:val="-4"/>
          <w:sz w:val="28"/>
          <w:szCs w:val="28"/>
          <w:lang w:val="en-US" w:eastAsia="zh-CN"/>
        </w:rPr>
      </w:pPr>
      <w:r>
        <w:rPr>
          <w:rFonts w:ascii="Times New Roman" w:hAnsi="Times New Roman" w:eastAsia="宋体" w:cs="Times New Roman"/>
          <w:sz w:val="28"/>
          <w:szCs w:val="28"/>
        </w:rPr>
        <w:t>将</w:t>
      </w:r>
      <w:r>
        <w:rPr>
          <w:rFonts w:hint="eastAsia" w:cs="Times New Roman"/>
          <w:sz w:val="28"/>
          <w:szCs w:val="28"/>
          <w:lang w:eastAsia="zh-CN"/>
        </w:rPr>
        <w:t>友好区</w:t>
      </w:r>
      <w:r>
        <w:rPr>
          <w:rFonts w:ascii="Times New Roman" w:hAnsi="Times New Roman" w:eastAsia="宋体" w:cs="Times New Roman"/>
          <w:sz w:val="28"/>
          <w:szCs w:val="28"/>
        </w:rPr>
        <w:t>一级饮用水水源地保护区范围内的水域滩涂划为禁养区，面积为</w:t>
      </w:r>
      <w:r>
        <w:rPr>
          <w:rFonts w:hint="eastAsia" w:ascii="Times New Roman" w:hAnsi="Times New Roman" w:eastAsia="宋体" w:cs="Times New Roman"/>
          <w:sz w:val="28"/>
          <w:szCs w:val="28"/>
          <w:lang w:val="en-US" w:eastAsia="zh-CN"/>
        </w:rPr>
        <w:t>60.2790</w:t>
      </w:r>
      <w:r>
        <w:rPr>
          <w:rFonts w:ascii="Times New Roman" w:hAnsi="Times New Roman" w:eastAsia="宋体" w:cs="Times New Roman"/>
          <w:sz w:val="28"/>
          <w:szCs w:val="28"/>
        </w:rPr>
        <w:t>公顷。</w:t>
      </w:r>
    </w:p>
    <w:p w14:paraId="555A0E78">
      <w:pPr>
        <w:pStyle w:val="35"/>
        <w:jc w:val="center"/>
      </w:pPr>
      <w:r>
        <w:rPr>
          <w:rFonts w:hint="eastAsia" w:ascii="黑体" w:hAnsi="黑体" w:eastAsia="黑体" w:cs="黑体"/>
        </w:rPr>
        <w:t>表 3-</w:t>
      </w:r>
      <w:r>
        <w:rPr>
          <w:rFonts w:hint="eastAsia" w:ascii="黑体" w:hAnsi="黑体" w:eastAsia="黑体" w:cs="黑体"/>
          <w:lang w:val="en-US" w:eastAsia="zh-CN"/>
        </w:rPr>
        <w:t>10</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rPr>
        <w:t>饮用水水源地一级保护区内水域滩涂禁养区</w:t>
      </w:r>
      <w:r>
        <w:rPr>
          <w:rFonts w:hint="eastAsia" w:ascii="黑体" w:hAnsi="黑体" w:eastAsia="黑体" w:cs="黑体"/>
          <w:lang w:val="en-US" w:eastAsia="zh-CN"/>
        </w:rPr>
        <w:t>面积</w:t>
      </w:r>
      <w:r>
        <w:rPr>
          <w:rFonts w:hint="eastAsia" w:ascii="黑体" w:hAnsi="黑体" w:eastAsia="黑体" w:cs="黑体"/>
        </w:rPr>
        <w:t>统计表</w:t>
      </w:r>
    </w:p>
    <w:tbl>
      <w:tblPr>
        <w:tblStyle w:val="32"/>
        <w:tblW w:w="8529" w:type="dxa"/>
        <w:tblInd w:w="2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9"/>
        <w:gridCol w:w="2583"/>
        <w:gridCol w:w="3067"/>
      </w:tblGrid>
      <w:tr w14:paraId="41500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879" w:type="dxa"/>
            <w:tcBorders>
              <w:top w:val="single" w:color="000000" w:sz="10" w:space="0"/>
              <w:left w:val="single" w:color="000000" w:sz="10" w:space="0"/>
            </w:tcBorders>
            <w:vAlign w:val="top"/>
          </w:tcPr>
          <w:p w14:paraId="40FF13E2">
            <w:pPr>
              <w:spacing w:before="92" w:line="220" w:lineRule="auto"/>
              <w:ind w:left="1213"/>
              <w:rPr>
                <w:rFonts w:ascii="宋体" w:hAnsi="宋体" w:eastAsia="宋体" w:cs="宋体"/>
                <w:sz w:val="22"/>
                <w:szCs w:val="22"/>
              </w:rPr>
            </w:pPr>
            <w:r>
              <w:rPr>
                <w:rFonts w:ascii="宋体" w:hAnsi="宋体" w:eastAsia="宋体" w:cs="宋体"/>
                <w:spacing w:val="-4"/>
                <w:sz w:val="22"/>
                <w:szCs w:val="22"/>
              </w:rPr>
              <w:t>类型</w:t>
            </w:r>
          </w:p>
        </w:tc>
        <w:tc>
          <w:tcPr>
            <w:tcW w:w="2583" w:type="dxa"/>
            <w:tcBorders>
              <w:top w:val="single" w:color="000000" w:sz="10" w:space="0"/>
            </w:tcBorders>
            <w:vAlign w:val="top"/>
          </w:tcPr>
          <w:p w14:paraId="7C1D895B">
            <w:pPr>
              <w:spacing w:before="92" w:line="220" w:lineRule="auto"/>
              <w:ind w:left="1077"/>
              <w:rPr>
                <w:rFonts w:ascii="宋体" w:hAnsi="宋体" w:eastAsia="宋体" w:cs="宋体"/>
                <w:sz w:val="22"/>
                <w:szCs w:val="22"/>
              </w:rPr>
            </w:pPr>
            <w:r>
              <w:rPr>
                <w:rFonts w:ascii="宋体" w:hAnsi="宋体" w:eastAsia="宋体" w:cs="宋体"/>
                <w:spacing w:val="-4"/>
                <w:sz w:val="22"/>
                <w:szCs w:val="22"/>
              </w:rPr>
              <w:t>地类</w:t>
            </w:r>
          </w:p>
        </w:tc>
        <w:tc>
          <w:tcPr>
            <w:tcW w:w="3067" w:type="dxa"/>
            <w:tcBorders>
              <w:top w:val="single" w:color="000000" w:sz="10" w:space="0"/>
              <w:right w:val="single" w:color="000000" w:sz="10" w:space="0"/>
            </w:tcBorders>
            <w:vAlign w:val="top"/>
          </w:tcPr>
          <w:p w14:paraId="11822207">
            <w:pPr>
              <w:spacing w:before="92" w:line="221" w:lineRule="auto"/>
              <w:ind w:left="881"/>
              <w:rPr>
                <w:rFonts w:ascii="宋体" w:hAnsi="宋体" w:eastAsia="宋体" w:cs="宋体"/>
                <w:sz w:val="22"/>
                <w:szCs w:val="22"/>
              </w:rPr>
            </w:pPr>
            <w:r>
              <w:rPr>
                <w:rFonts w:ascii="宋体" w:hAnsi="宋体" w:eastAsia="宋体" w:cs="宋体"/>
                <w:spacing w:val="-2"/>
                <w:sz w:val="22"/>
                <w:szCs w:val="22"/>
              </w:rPr>
              <w:t>面积（公顷）</w:t>
            </w:r>
          </w:p>
        </w:tc>
      </w:tr>
      <w:tr w14:paraId="5B4B2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restart"/>
            <w:tcBorders>
              <w:left w:val="single" w:color="000000" w:sz="10" w:space="0"/>
              <w:bottom w:val="nil"/>
            </w:tcBorders>
            <w:vAlign w:val="top"/>
          </w:tcPr>
          <w:p w14:paraId="5EFB69AD">
            <w:pPr>
              <w:keepNext w:val="0"/>
              <w:keepLines w:val="0"/>
              <w:pageBreakBefore w:val="0"/>
              <w:widowControl w:val="0"/>
              <w:kinsoku/>
              <w:wordWrap/>
              <w:overflowPunct/>
              <w:topLinePunct w:val="0"/>
              <w:autoSpaceDE/>
              <w:autoSpaceDN/>
              <w:bidi w:val="0"/>
              <w:adjustRightInd/>
              <w:snapToGrid/>
              <w:spacing w:before="71" w:line="1000" w:lineRule="exact"/>
              <w:jc w:val="center"/>
              <w:textAlignment w:val="auto"/>
              <w:rPr>
                <w:rFonts w:ascii="宋体" w:hAnsi="宋体" w:eastAsia="宋体" w:cs="宋体"/>
                <w:sz w:val="22"/>
                <w:szCs w:val="22"/>
              </w:rPr>
            </w:pPr>
            <w:r>
              <w:rPr>
                <w:rFonts w:ascii="宋体" w:hAnsi="宋体" w:eastAsia="宋体" w:cs="宋体"/>
                <w:spacing w:val="-1"/>
                <w:sz w:val="22"/>
                <w:szCs w:val="22"/>
              </w:rPr>
              <w:t>饮用水源一级保护区</w:t>
            </w:r>
          </w:p>
        </w:tc>
        <w:tc>
          <w:tcPr>
            <w:tcW w:w="2583" w:type="dxa"/>
            <w:vAlign w:val="top"/>
          </w:tcPr>
          <w:p w14:paraId="0293297E">
            <w:pPr>
              <w:spacing w:before="93" w:line="220" w:lineRule="auto"/>
              <w:ind w:left="856"/>
              <w:rPr>
                <w:rFonts w:ascii="宋体" w:hAnsi="宋体" w:eastAsia="宋体" w:cs="宋体"/>
                <w:sz w:val="22"/>
                <w:szCs w:val="22"/>
              </w:rPr>
            </w:pPr>
            <w:r>
              <w:rPr>
                <w:rFonts w:ascii="宋体" w:hAnsi="宋体" w:eastAsia="宋体" w:cs="宋体"/>
                <w:spacing w:val="-2"/>
                <w:sz w:val="22"/>
                <w:szCs w:val="22"/>
              </w:rPr>
              <w:t>坑塘水面</w:t>
            </w:r>
          </w:p>
        </w:tc>
        <w:tc>
          <w:tcPr>
            <w:tcW w:w="3067" w:type="dxa"/>
            <w:tcBorders>
              <w:right w:val="single" w:color="000000" w:sz="10" w:space="0"/>
            </w:tcBorders>
            <w:vAlign w:val="top"/>
          </w:tcPr>
          <w:p w14:paraId="1ED5B386">
            <w:pPr>
              <w:pStyle w:val="33"/>
              <w:spacing w:before="131" w:line="189" w:lineRule="auto"/>
              <w:ind w:left="1237"/>
              <w:rPr>
                <w:rFonts w:hint="default" w:eastAsia="宋体"/>
                <w:lang w:val="en-US" w:eastAsia="zh-CN"/>
              </w:rPr>
            </w:pPr>
            <w:r>
              <w:rPr>
                <w:rFonts w:hint="eastAsia" w:eastAsia="宋体"/>
                <w:lang w:val="en-US" w:eastAsia="zh-CN"/>
              </w:rPr>
              <w:t>5.2082</w:t>
            </w:r>
          </w:p>
        </w:tc>
      </w:tr>
      <w:tr w14:paraId="3E286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continue"/>
            <w:tcBorders>
              <w:top w:val="nil"/>
              <w:left w:val="single" w:color="000000" w:sz="10" w:space="0"/>
              <w:bottom w:val="nil"/>
            </w:tcBorders>
            <w:vAlign w:val="top"/>
          </w:tcPr>
          <w:p w14:paraId="00F3ED0D">
            <w:pPr>
              <w:rPr>
                <w:rFonts w:ascii="Arial"/>
                <w:sz w:val="21"/>
              </w:rPr>
            </w:pPr>
          </w:p>
        </w:tc>
        <w:tc>
          <w:tcPr>
            <w:tcW w:w="2583" w:type="dxa"/>
            <w:vAlign w:val="top"/>
          </w:tcPr>
          <w:p w14:paraId="51955910">
            <w:pPr>
              <w:spacing w:before="100" w:line="220" w:lineRule="auto"/>
              <w:ind w:left="857"/>
              <w:rPr>
                <w:rFonts w:hint="default" w:ascii="宋体" w:hAnsi="宋体" w:eastAsia="宋体" w:cs="宋体"/>
                <w:spacing w:val="-3"/>
                <w:sz w:val="22"/>
                <w:szCs w:val="22"/>
                <w:lang w:val="en-US" w:eastAsia="zh-CN"/>
              </w:rPr>
            </w:pPr>
            <w:r>
              <w:rPr>
                <w:rFonts w:hint="eastAsia" w:ascii="宋体" w:hAnsi="宋体" w:cs="宋体"/>
                <w:spacing w:val="-3"/>
                <w:sz w:val="22"/>
                <w:szCs w:val="22"/>
                <w:lang w:val="en-US" w:eastAsia="zh-CN"/>
              </w:rPr>
              <w:t>河流水面</w:t>
            </w:r>
          </w:p>
        </w:tc>
        <w:tc>
          <w:tcPr>
            <w:tcW w:w="3067" w:type="dxa"/>
            <w:tcBorders>
              <w:right w:val="single" w:color="000000" w:sz="10" w:space="0"/>
            </w:tcBorders>
            <w:vAlign w:val="top"/>
          </w:tcPr>
          <w:p w14:paraId="1E0E5820">
            <w:pPr>
              <w:pStyle w:val="33"/>
              <w:spacing w:before="138" w:line="189" w:lineRule="auto"/>
              <w:ind w:left="1237"/>
              <w:rPr>
                <w:rFonts w:hint="default" w:eastAsia="宋体"/>
                <w:lang w:val="en-US" w:eastAsia="zh-CN"/>
              </w:rPr>
            </w:pPr>
            <w:r>
              <w:rPr>
                <w:rFonts w:hint="eastAsia" w:eastAsia="宋体"/>
                <w:lang w:val="en-US" w:eastAsia="zh-CN"/>
              </w:rPr>
              <w:t>36.8161</w:t>
            </w:r>
          </w:p>
        </w:tc>
      </w:tr>
      <w:tr w14:paraId="2C30E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continue"/>
            <w:tcBorders>
              <w:top w:val="nil"/>
              <w:left w:val="single" w:color="000000" w:sz="10" w:space="0"/>
              <w:bottom w:val="nil"/>
            </w:tcBorders>
            <w:vAlign w:val="top"/>
          </w:tcPr>
          <w:p w14:paraId="33CB4B88">
            <w:pPr>
              <w:rPr>
                <w:rFonts w:ascii="Arial"/>
                <w:sz w:val="21"/>
              </w:rPr>
            </w:pPr>
          </w:p>
        </w:tc>
        <w:tc>
          <w:tcPr>
            <w:tcW w:w="2583" w:type="dxa"/>
            <w:vAlign w:val="top"/>
          </w:tcPr>
          <w:p w14:paraId="6D7B3BEB">
            <w:pPr>
              <w:spacing w:before="100" w:line="220" w:lineRule="auto"/>
              <w:ind w:left="857"/>
              <w:rPr>
                <w:rFonts w:hint="default" w:ascii="宋体" w:hAnsi="宋体" w:eastAsia="宋体" w:cs="宋体"/>
                <w:spacing w:val="-3"/>
                <w:sz w:val="22"/>
                <w:szCs w:val="22"/>
                <w:lang w:val="en-US" w:eastAsia="zh-CN"/>
              </w:rPr>
            </w:pPr>
            <w:r>
              <w:rPr>
                <w:rFonts w:hint="eastAsia" w:ascii="宋体" w:hAnsi="宋体" w:cs="宋体"/>
                <w:spacing w:val="-3"/>
                <w:sz w:val="22"/>
                <w:szCs w:val="22"/>
                <w:lang w:val="en-US" w:eastAsia="zh-CN"/>
              </w:rPr>
              <w:t>内陆滩涂</w:t>
            </w:r>
          </w:p>
        </w:tc>
        <w:tc>
          <w:tcPr>
            <w:tcW w:w="3067" w:type="dxa"/>
            <w:tcBorders>
              <w:right w:val="single" w:color="000000" w:sz="10" w:space="0"/>
            </w:tcBorders>
            <w:vAlign w:val="top"/>
          </w:tcPr>
          <w:p w14:paraId="768B3535">
            <w:pPr>
              <w:pStyle w:val="33"/>
              <w:spacing w:before="138" w:line="189" w:lineRule="auto"/>
              <w:ind w:left="1237"/>
              <w:rPr>
                <w:rFonts w:hint="default" w:eastAsia="宋体"/>
                <w:lang w:val="en-US" w:eastAsia="zh-CN"/>
              </w:rPr>
            </w:pPr>
            <w:r>
              <w:rPr>
                <w:rFonts w:hint="eastAsia" w:eastAsia="宋体"/>
                <w:lang w:val="en-US" w:eastAsia="zh-CN"/>
              </w:rPr>
              <w:t>18.2547</w:t>
            </w:r>
          </w:p>
        </w:tc>
      </w:tr>
      <w:tr w14:paraId="2BD5A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879" w:type="dxa"/>
            <w:vMerge w:val="continue"/>
            <w:tcBorders>
              <w:top w:val="nil"/>
              <w:left w:val="single" w:color="000000" w:sz="10" w:space="0"/>
              <w:bottom w:val="single" w:color="000000" w:sz="10" w:space="0"/>
            </w:tcBorders>
            <w:vAlign w:val="top"/>
          </w:tcPr>
          <w:p w14:paraId="05AB6476">
            <w:pPr>
              <w:rPr>
                <w:rFonts w:ascii="Arial"/>
                <w:sz w:val="21"/>
              </w:rPr>
            </w:pPr>
          </w:p>
        </w:tc>
        <w:tc>
          <w:tcPr>
            <w:tcW w:w="2583" w:type="dxa"/>
            <w:tcBorders>
              <w:bottom w:val="single" w:color="000000" w:sz="10" w:space="0"/>
            </w:tcBorders>
            <w:vAlign w:val="top"/>
          </w:tcPr>
          <w:p w14:paraId="55B48E2C">
            <w:pPr>
              <w:spacing w:before="106" w:line="222" w:lineRule="auto"/>
              <w:ind w:left="1083"/>
              <w:rPr>
                <w:rFonts w:ascii="宋体" w:hAnsi="宋体" w:eastAsia="宋体" w:cs="宋体"/>
                <w:sz w:val="22"/>
                <w:szCs w:val="22"/>
              </w:rPr>
            </w:pPr>
            <w:r>
              <w:rPr>
                <w:rFonts w:ascii="宋体" w:hAnsi="宋体" w:eastAsia="宋体" w:cs="宋体"/>
                <w:spacing w:val="-7"/>
                <w:sz w:val="22"/>
                <w:szCs w:val="22"/>
              </w:rPr>
              <w:t>总计</w:t>
            </w:r>
          </w:p>
        </w:tc>
        <w:tc>
          <w:tcPr>
            <w:tcW w:w="3067" w:type="dxa"/>
            <w:tcBorders>
              <w:bottom w:val="single" w:color="000000" w:sz="10" w:space="0"/>
              <w:right w:val="single" w:color="000000" w:sz="10" w:space="0"/>
            </w:tcBorders>
            <w:vAlign w:val="top"/>
          </w:tcPr>
          <w:p w14:paraId="50E8E070">
            <w:pPr>
              <w:pStyle w:val="33"/>
              <w:spacing w:before="145" w:line="189" w:lineRule="auto"/>
              <w:ind w:left="1237"/>
              <w:rPr>
                <w:rFonts w:hint="default" w:eastAsia="宋体"/>
                <w:lang w:val="en-US" w:eastAsia="zh-CN"/>
              </w:rPr>
            </w:pPr>
            <w:r>
              <w:rPr>
                <w:rFonts w:hint="eastAsia" w:eastAsia="宋体"/>
                <w:lang w:val="en-US" w:eastAsia="zh-CN"/>
              </w:rPr>
              <w:t>60.2790</w:t>
            </w:r>
          </w:p>
        </w:tc>
      </w:tr>
    </w:tbl>
    <w:p w14:paraId="783448EE">
      <w:pPr>
        <w:pStyle w:val="35"/>
        <w:jc w:val="both"/>
        <w:rPr>
          <w:highlight w:val="none"/>
        </w:rPr>
      </w:pPr>
    </w:p>
    <w:p w14:paraId="6D901F63">
      <w:pPr>
        <w:pStyle w:val="4"/>
        <w:numPr>
          <w:ilvl w:val="0"/>
          <w:numId w:val="0"/>
        </w:numPr>
        <w:ind w:leftChars="200"/>
        <w:jc w:val="both"/>
        <w:rPr>
          <w:b w:val="0"/>
        </w:rPr>
      </w:pPr>
      <w:bookmarkStart w:id="264" w:name="_Toc17720"/>
      <w:bookmarkStart w:id="265" w:name="_Toc24770"/>
      <w:bookmarkStart w:id="266" w:name="_Toc7229"/>
      <w:bookmarkStart w:id="267" w:name="_Toc8957"/>
      <w:bookmarkStart w:id="268" w:name="_Toc32374"/>
      <w:r>
        <w:rPr>
          <w:rFonts w:hint="eastAsia"/>
          <w:lang w:val="en-US" w:eastAsia="zh-CN"/>
        </w:rPr>
        <w:t xml:space="preserve">3.3.3 </w:t>
      </w:r>
      <w:r>
        <w:t>城镇开发边界禁养区</w:t>
      </w:r>
      <w:bookmarkEnd w:id="264"/>
      <w:bookmarkEnd w:id="265"/>
      <w:bookmarkEnd w:id="266"/>
      <w:bookmarkEnd w:id="267"/>
      <w:bookmarkEnd w:id="268"/>
    </w:p>
    <w:p w14:paraId="329B0039">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城镇开发边界是指在一定时期内，为约束城镇无序扩张、保障城镇空间有序发展，依据资源环境承载能力、国土空间开发适宜性评价及城镇发展需求，科学划定的城镇建设可集中开展的空间范围边界。根据伊春市国土空间</w:t>
      </w:r>
      <w:r>
        <w:rPr>
          <w:rFonts w:hint="eastAsia" w:cs="Times New Roman"/>
          <w:sz w:val="28"/>
          <w:szCs w:val="28"/>
          <w:lang w:val="en-US" w:eastAsia="zh-CN"/>
        </w:rPr>
        <w:t>总体</w:t>
      </w:r>
      <w:r>
        <w:rPr>
          <w:rFonts w:ascii="Times New Roman" w:hAnsi="Times New Roman" w:eastAsia="宋体" w:cs="Times New Roman"/>
          <w:sz w:val="28"/>
          <w:szCs w:val="28"/>
        </w:rPr>
        <w:t>规划，</w:t>
      </w:r>
      <w:r>
        <w:rPr>
          <w:rFonts w:hint="eastAsia" w:cs="Times New Roman"/>
          <w:sz w:val="28"/>
          <w:szCs w:val="28"/>
          <w:lang w:eastAsia="zh-CN"/>
        </w:rPr>
        <w:t>友好区</w:t>
      </w:r>
      <w:r>
        <w:rPr>
          <w:rFonts w:ascii="Times New Roman" w:hAnsi="Times New Roman" w:eastAsia="宋体" w:cs="Times New Roman"/>
          <w:sz w:val="28"/>
          <w:szCs w:val="28"/>
        </w:rPr>
        <w:t>城镇开发边界面积</w:t>
      </w:r>
      <w:r>
        <w:rPr>
          <w:rFonts w:hint="eastAsia" w:ascii="Times New Roman" w:hAnsi="Times New Roman" w:eastAsia="宋体" w:cs="Times New Roman"/>
          <w:sz w:val="28"/>
          <w:szCs w:val="28"/>
        </w:rPr>
        <w:t>1279.6978</w:t>
      </w:r>
      <w:r>
        <w:rPr>
          <w:rFonts w:ascii="Times New Roman" w:hAnsi="Times New Roman" w:eastAsia="宋体" w:cs="Times New Roman"/>
          <w:sz w:val="28"/>
          <w:szCs w:val="28"/>
        </w:rPr>
        <w:t>公顷，将</w:t>
      </w:r>
      <w:r>
        <w:rPr>
          <w:rFonts w:hint="eastAsia" w:cs="Times New Roman"/>
          <w:sz w:val="28"/>
          <w:szCs w:val="28"/>
          <w:lang w:eastAsia="zh-CN"/>
        </w:rPr>
        <w:t>友好区</w:t>
      </w:r>
      <w:r>
        <w:rPr>
          <w:rFonts w:ascii="Times New Roman" w:hAnsi="Times New Roman" w:eastAsia="宋体" w:cs="Times New Roman"/>
          <w:sz w:val="28"/>
          <w:szCs w:val="28"/>
        </w:rPr>
        <w:t>城镇开发边界范围内的水域滩涂划为禁养区，面积为</w:t>
      </w:r>
      <w:r>
        <w:rPr>
          <w:rFonts w:hint="eastAsia" w:ascii="Times New Roman" w:hAnsi="Times New Roman" w:eastAsia="宋体" w:cs="Times New Roman"/>
          <w:sz w:val="28"/>
          <w:szCs w:val="28"/>
          <w:lang w:val="en-US" w:eastAsia="zh-CN"/>
        </w:rPr>
        <w:t>4.7052</w:t>
      </w:r>
      <w:r>
        <w:rPr>
          <w:rFonts w:ascii="Times New Roman" w:hAnsi="Times New Roman" w:eastAsia="宋体" w:cs="Times New Roman"/>
          <w:sz w:val="28"/>
          <w:szCs w:val="28"/>
        </w:rPr>
        <w:t>公顷。</w:t>
      </w:r>
    </w:p>
    <w:p w14:paraId="4AB6D8B2">
      <w:pPr>
        <w:pStyle w:val="11"/>
        <w:spacing w:line="360" w:lineRule="auto"/>
        <w:ind w:leftChars="0" w:firstLine="560" w:firstLineChars="200"/>
        <w:jc w:val="both"/>
        <w:rPr>
          <w:rFonts w:ascii="Times New Roman" w:hAnsi="Times New Roman" w:eastAsia="宋体" w:cs="Times New Roman"/>
          <w:sz w:val="28"/>
          <w:szCs w:val="28"/>
        </w:rPr>
      </w:pPr>
    </w:p>
    <w:p w14:paraId="1FA763C3">
      <w:pPr>
        <w:pStyle w:val="11"/>
        <w:spacing w:line="360" w:lineRule="auto"/>
        <w:ind w:leftChars="0" w:firstLine="560" w:firstLineChars="200"/>
        <w:jc w:val="both"/>
        <w:rPr>
          <w:rFonts w:ascii="Times New Roman" w:hAnsi="Times New Roman" w:eastAsia="宋体" w:cs="Times New Roman"/>
          <w:sz w:val="28"/>
          <w:szCs w:val="28"/>
        </w:rPr>
      </w:pPr>
    </w:p>
    <w:p w14:paraId="173552A8">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11</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rPr>
        <w:t>城镇开发边界范围内水域滩涂禁养区</w:t>
      </w:r>
      <w:r>
        <w:rPr>
          <w:rFonts w:hint="eastAsia" w:ascii="黑体" w:hAnsi="黑体" w:eastAsia="黑体" w:cs="黑体"/>
          <w:lang w:val="en-US" w:eastAsia="zh-CN"/>
        </w:rPr>
        <w:t>面积</w:t>
      </w:r>
      <w:r>
        <w:rPr>
          <w:rFonts w:hint="eastAsia" w:ascii="黑体" w:hAnsi="黑体" w:eastAsia="黑体" w:cs="黑体"/>
        </w:rPr>
        <w:t>统计表</w:t>
      </w:r>
    </w:p>
    <w:tbl>
      <w:tblPr>
        <w:tblStyle w:val="32"/>
        <w:tblW w:w="852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1"/>
        <w:gridCol w:w="3093"/>
        <w:gridCol w:w="3555"/>
      </w:tblGrid>
      <w:tr w14:paraId="453F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881" w:type="dxa"/>
            <w:tcBorders>
              <w:top w:val="single" w:color="000000" w:sz="10" w:space="0"/>
              <w:left w:val="single" w:color="000000" w:sz="10" w:space="0"/>
            </w:tcBorders>
            <w:vAlign w:val="top"/>
          </w:tcPr>
          <w:p w14:paraId="67392A5D">
            <w:pPr>
              <w:spacing w:before="91" w:line="220" w:lineRule="auto"/>
              <w:ind w:left="713"/>
              <w:rPr>
                <w:rFonts w:ascii="宋体" w:hAnsi="宋体" w:eastAsia="宋体" w:cs="宋体"/>
                <w:sz w:val="22"/>
                <w:szCs w:val="22"/>
              </w:rPr>
            </w:pPr>
            <w:r>
              <w:rPr>
                <w:rFonts w:ascii="宋体" w:hAnsi="宋体" w:eastAsia="宋体" w:cs="宋体"/>
                <w:spacing w:val="-4"/>
                <w:sz w:val="22"/>
                <w:szCs w:val="22"/>
              </w:rPr>
              <w:t>类型</w:t>
            </w:r>
          </w:p>
        </w:tc>
        <w:tc>
          <w:tcPr>
            <w:tcW w:w="3093" w:type="dxa"/>
            <w:tcBorders>
              <w:top w:val="single" w:color="000000" w:sz="10" w:space="0"/>
            </w:tcBorders>
            <w:vAlign w:val="top"/>
          </w:tcPr>
          <w:p w14:paraId="1A283439">
            <w:pPr>
              <w:spacing w:before="91" w:line="220" w:lineRule="auto"/>
              <w:ind w:left="1331"/>
              <w:rPr>
                <w:rFonts w:ascii="宋体" w:hAnsi="宋体" w:eastAsia="宋体" w:cs="宋体"/>
                <w:sz w:val="22"/>
                <w:szCs w:val="22"/>
              </w:rPr>
            </w:pPr>
            <w:r>
              <w:rPr>
                <w:rFonts w:ascii="宋体" w:hAnsi="宋体" w:eastAsia="宋体" w:cs="宋体"/>
                <w:spacing w:val="-4"/>
                <w:sz w:val="22"/>
                <w:szCs w:val="22"/>
              </w:rPr>
              <w:t>地类</w:t>
            </w:r>
          </w:p>
        </w:tc>
        <w:tc>
          <w:tcPr>
            <w:tcW w:w="3555" w:type="dxa"/>
            <w:tcBorders>
              <w:top w:val="single" w:color="000000" w:sz="10" w:space="0"/>
              <w:right w:val="single" w:color="000000" w:sz="10" w:space="0"/>
            </w:tcBorders>
            <w:vAlign w:val="top"/>
          </w:tcPr>
          <w:p w14:paraId="635B8F37">
            <w:pPr>
              <w:spacing w:before="90" w:line="221" w:lineRule="auto"/>
              <w:ind w:left="1124"/>
              <w:rPr>
                <w:rFonts w:ascii="宋体" w:hAnsi="宋体" w:eastAsia="宋体" w:cs="宋体"/>
                <w:sz w:val="22"/>
                <w:szCs w:val="22"/>
              </w:rPr>
            </w:pPr>
            <w:r>
              <w:rPr>
                <w:rFonts w:ascii="宋体" w:hAnsi="宋体" w:eastAsia="宋体" w:cs="宋体"/>
                <w:spacing w:val="-2"/>
                <w:sz w:val="22"/>
                <w:szCs w:val="22"/>
              </w:rPr>
              <w:t>面积（公顷）</w:t>
            </w:r>
          </w:p>
        </w:tc>
      </w:tr>
      <w:tr w14:paraId="2F154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881" w:type="dxa"/>
            <w:vMerge w:val="restart"/>
            <w:tcBorders>
              <w:left w:val="single" w:color="000000" w:sz="10" w:space="0"/>
              <w:bottom w:val="nil"/>
            </w:tcBorders>
            <w:vAlign w:val="top"/>
          </w:tcPr>
          <w:p w14:paraId="6E0D4EB4">
            <w:pPr>
              <w:spacing w:line="276" w:lineRule="auto"/>
              <w:rPr>
                <w:rFonts w:ascii="Arial"/>
                <w:sz w:val="21"/>
              </w:rPr>
            </w:pPr>
          </w:p>
          <w:p w14:paraId="627EA800">
            <w:pPr>
              <w:spacing w:line="276" w:lineRule="auto"/>
              <w:rPr>
                <w:rFonts w:ascii="Arial"/>
                <w:sz w:val="21"/>
              </w:rPr>
            </w:pPr>
          </w:p>
          <w:p w14:paraId="7E512484">
            <w:pPr>
              <w:spacing w:line="277" w:lineRule="auto"/>
              <w:rPr>
                <w:rFonts w:ascii="Arial"/>
                <w:sz w:val="21"/>
              </w:rPr>
            </w:pPr>
          </w:p>
          <w:p w14:paraId="18292FBA">
            <w:pPr>
              <w:spacing w:before="71" w:line="220" w:lineRule="auto"/>
              <w:ind w:left="164"/>
              <w:rPr>
                <w:rFonts w:ascii="宋体" w:hAnsi="宋体" w:eastAsia="宋体" w:cs="宋体"/>
                <w:sz w:val="22"/>
                <w:szCs w:val="22"/>
              </w:rPr>
            </w:pPr>
            <w:r>
              <w:rPr>
                <w:rFonts w:ascii="宋体" w:hAnsi="宋体" w:eastAsia="宋体" w:cs="宋体"/>
                <w:spacing w:val="-2"/>
                <w:sz w:val="22"/>
                <w:szCs w:val="22"/>
              </w:rPr>
              <w:t>城镇开发边界区</w:t>
            </w:r>
          </w:p>
        </w:tc>
        <w:tc>
          <w:tcPr>
            <w:tcW w:w="3093" w:type="dxa"/>
            <w:vAlign w:val="top"/>
          </w:tcPr>
          <w:p w14:paraId="1BD5C8E0">
            <w:pPr>
              <w:spacing w:before="92" w:line="220" w:lineRule="auto"/>
              <w:ind w:left="1113"/>
              <w:rPr>
                <w:rFonts w:ascii="宋体" w:hAnsi="宋体" w:eastAsia="宋体" w:cs="宋体"/>
                <w:sz w:val="22"/>
                <w:szCs w:val="22"/>
              </w:rPr>
            </w:pPr>
            <w:r>
              <w:rPr>
                <w:rFonts w:hint="eastAsia" w:ascii="宋体" w:hAnsi="宋体" w:cs="宋体"/>
                <w:spacing w:val="-3"/>
                <w:sz w:val="22"/>
                <w:szCs w:val="22"/>
                <w:lang w:val="en-US" w:eastAsia="zh-CN"/>
              </w:rPr>
              <w:t>河流</w:t>
            </w:r>
            <w:r>
              <w:rPr>
                <w:rFonts w:ascii="宋体" w:hAnsi="宋体" w:eastAsia="宋体" w:cs="宋体"/>
                <w:spacing w:val="-3"/>
                <w:sz w:val="22"/>
                <w:szCs w:val="22"/>
              </w:rPr>
              <w:t>水面</w:t>
            </w:r>
          </w:p>
        </w:tc>
        <w:tc>
          <w:tcPr>
            <w:tcW w:w="3555" w:type="dxa"/>
            <w:tcBorders>
              <w:right w:val="single" w:color="000000" w:sz="10" w:space="0"/>
            </w:tcBorders>
            <w:vAlign w:val="top"/>
          </w:tcPr>
          <w:p w14:paraId="7E469392">
            <w:pPr>
              <w:pStyle w:val="33"/>
              <w:spacing w:before="130" w:line="189" w:lineRule="auto"/>
              <w:ind w:left="1480"/>
              <w:rPr>
                <w:rFonts w:hint="default" w:eastAsia="宋体"/>
                <w:lang w:val="en-US" w:eastAsia="zh-CN"/>
              </w:rPr>
            </w:pPr>
            <w:r>
              <w:rPr>
                <w:rFonts w:hint="eastAsia" w:eastAsia="宋体"/>
                <w:lang w:val="en-US" w:eastAsia="zh-CN"/>
              </w:rPr>
              <w:t>0.3228</w:t>
            </w:r>
          </w:p>
        </w:tc>
      </w:tr>
      <w:tr w14:paraId="572C9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881" w:type="dxa"/>
            <w:vMerge w:val="continue"/>
            <w:tcBorders>
              <w:top w:val="nil"/>
              <w:left w:val="single" w:color="000000" w:sz="10" w:space="0"/>
              <w:bottom w:val="nil"/>
            </w:tcBorders>
            <w:vAlign w:val="top"/>
          </w:tcPr>
          <w:p w14:paraId="232FD674">
            <w:pPr>
              <w:rPr>
                <w:rFonts w:ascii="Arial"/>
                <w:sz w:val="21"/>
              </w:rPr>
            </w:pPr>
          </w:p>
        </w:tc>
        <w:tc>
          <w:tcPr>
            <w:tcW w:w="3093" w:type="dxa"/>
            <w:vAlign w:val="top"/>
          </w:tcPr>
          <w:p w14:paraId="6DE3803E">
            <w:pPr>
              <w:spacing w:before="97" w:line="220" w:lineRule="auto"/>
              <w:ind w:left="1110"/>
              <w:rPr>
                <w:rFonts w:ascii="宋体" w:hAnsi="宋体" w:eastAsia="宋体" w:cs="宋体"/>
                <w:sz w:val="22"/>
                <w:szCs w:val="22"/>
              </w:rPr>
            </w:pPr>
            <w:r>
              <w:rPr>
                <w:rFonts w:ascii="宋体" w:hAnsi="宋体" w:eastAsia="宋体" w:cs="宋体"/>
                <w:spacing w:val="-2"/>
                <w:sz w:val="22"/>
                <w:szCs w:val="22"/>
              </w:rPr>
              <w:t>坑塘水面</w:t>
            </w:r>
          </w:p>
        </w:tc>
        <w:tc>
          <w:tcPr>
            <w:tcW w:w="3555" w:type="dxa"/>
            <w:tcBorders>
              <w:right w:val="single" w:color="000000" w:sz="10" w:space="0"/>
            </w:tcBorders>
            <w:vAlign w:val="top"/>
          </w:tcPr>
          <w:p w14:paraId="5B67E6D1">
            <w:pPr>
              <w:pStyle w:val="33"/>
              <w:spacing w:before="135" w:line="189" w:lineRule="auto"/>
              <w:ind w:left="1483"/>
              <w:rPr>
                <w:rFonts w:hint="default" w:eastAsia="宋体"/>
                <w:lang w:val="en-US" w:eastAsia="zh-CN"/>
              </w:rPr>
            </w:pPr>
            <w:r>
              <w:rPr>
                <w:rFonts w:hint="eastAsia" w:eastAsia="宋体"/>
                <w:lang w:val="en-US" w:eastAsia="zh-CN"/>
              </w:rPr>
              <w:t>4.1351</w:t>
            </w:r>
          </w:p>
        </w:tc>
      </w:tr>
      <w:tr w14:paraId="02ADC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881" w:type="dxa"/>
            <w:vMerge w:val="continue"/>
            <w:tcBorders>
              <w:top w:val="nil"/>
              <w:left w:val="single" w:color="000000" w:sz="10" w:space="0"/>
              <w:bottom w:val="nil"/>
            </w:tcBorders>
            <w:vAlign w:val="top"/>
          </w:tcPr>
          <w:p w14:paraId="591CF4E7">
            <w:pPr>
              <w:rPr>
                <w:rFonts w:ascii="Arial"/>
                <w:sz w:val="21"/>
              </w:rPr>
            </w:pPr>
          </w:p>
        </w:tc>
        <w:tc>
          <w:tcPr>
            <w:tcW w:w="3093" w:type="dxa"/>
            <w:vAlign w:val="top"/>
          </w:tcPr>
          <w:p w14:paraId="561F7BA6">
            <w:pPr>
              <w:spacing w:before="99" w:line="220" w:lineRule="auto"/>
              <w:ind w:left="1111"/>
              <w:rPr>
                <w:rFonts w:ascii="宋体" w:hAnsi="宋体" w:eastAsia="宋体" w:cs="宋体"/>
                <w:sz w:val="22"/>
                <w:szCs w:val="22"/>
              </w:rPr>
            </w:pPr>
            <w:r>
              <w:rPr>
                <w:rFonts w:ascii="宋体" w:hAnsi="宋体" w:eastAsia="宋体" w:cs="宋体"/>
                <w:spacing w:val="-3"/>
                <w:sz w:val="22"/>
                <w:szCs w:val="22"/>
              </w:rPr>
              <w:t>养殖坑塘</w:t>
            </w:r>
          </w:p>
        </w:tc>
        <w:tc>
          <w:tcPr>
            <w:tcW w:w="3555" w:type="dxa"/>
            <w:tcBorders>
              <w:right w:val="single" w:color="000000" w:sz="10" w:space="0"/>
            </w:tcBorders>
            <w:vAlign w:val="top"/>
          </w:tcPr>
          <w:p w14:paraId="50F1B9D4">
            <w:pPr>
              <w:pStyle w:val="33"/>
              <w:spacing w:before="137" w:line="189" w:lineRule="auto"/>
              <w:ind w:left="1477"/>
              <w:rPr>
                <w:rFonts w:hint="default" w:eastAsia="宋体"/>
                <w:lang w:val="en-US" w:eastAsia="zh-CN"/>
              </w:rPr>
            </w:pPr>
            <w:r>
              <w:rPr>
                <w:rFonts w:hint="eastAsia" w:eastAsia="宋体"/>
                <w:lang w:val="en-US" w:eastAsia="zh-CN"/>
              </w:rPr>
              <w:t>0.2049</w:t>
            </w:r>
          </w:p>
        </w:tc>
      </w:tr>
      <w:tr w14:paraId="3FFB5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881" w:type="dxa"/>
            <w:vMerge w:val="continue"/>
            <w:tcBorders>
              <w:top w:val="nil"/>
              <w:left w:val="single" w:color="000000" w:sz="10" w:space="0"/>
              <w:bottom w:val="nil"/>
            </w:tcBorders>
            <w:vAlign w:val="top"/>
          </w:tcPr>
          <w:p w14:paraId="5D426699">
            <w:pPr>
              <w:rPr>
                <w:rFonts w:ascii="Arial"/>
                <w:sz w:val="21"/>
              </w:rPr>
            </w:pPr>
          </w:p>
        </w:tc>
        <w:tc>
          <w:tcPr>
            <w:tcW w:w="3093" w:type="dxa"/>
            <w:vAlign w:val="top"/>
          </w:tcPr>
          <w:p w14:paraId="1CCF2B8D">
            <w:pPr>
              <w:spacing w:before="104" w:line="220" w:lineRule="auto"/>
              <w:ind w:left="1137"/>
              <w:rPr>
                <w:rFonts w:ascii="宋体" w:hAnsi="宋体" w:eastAsia="宋体" w:cs="宋体"/>
                <w:sz w:val="22"/>
                <w:szCs w:val="22"/>
              </w:rPr>
            </w:pPr>
            <w:r>
              <w:rPr>
                <w:rFonts w:ascii="宋体" w:hAnsi="宋体" w:eastAsia="宋体" w:cs="宋体"/>
                <w:spacing w:val="-9"/>
                <w:sz w:val="22"/>
                <w:szCs w:val="22"/>
              </w:rPr>
              <w:t>内陆滩涂</w:t>
            </w:r>
          </w:p>
        </w:tc>
        <w:tc>
          <w:tcPr>
            <w:tcW w:w="3555" w:type="dxa"/>
            <w:tcBorders>
              <w:right w:val="single" w:color="000000" w:sz="10" w:space="0"/>
            </w:tcBorders>
            <w:vAlign w:val="top"/>
          </w:tcPr>
          <w:p w14:paraId="07AC79BA">
            <w:pPr>
              <w:pStyle w:val="33"/>
              <w:spacing w:before="142" w:line="189" w:lineRule="auto"/>
              <w:ind w:left="1498"/>
              <w:rPr>
                <w:rFonts w:hint="default" w:eastAsia="宋体"/>
                <w:lang w:val="en-US" w:eastAsia="zh-CN"/>
              </w:rPr>
            </w:pPr>
            <w:r>
              <w:rPr>
                <w:rFonts w:hint="eastAsia" w:eastAsia="宋体"/>
                <w:lang w:val="en-US" w:eastAsia="zh-CN"/>
              </w:rPr>
              <w:t>0.0424</w:t>
            </w:r>
          </w:p>
        </w:tc>
      </w:tr>
      <w:tr w14:paraId="3310B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881" w:type="dxa"/>
            <w:vMerge w:val="continue"/>
            <w:tcBorders>
              <w:top w:val="nil"/>
              <w:left w:val="single" w:color="000000" w:sz="10" w:space="0"/>
              <w:bottom w:val="single" w:color="000000" w:sz="10" w:space="0"/>
            </w:tcBorders>
            <w:vAlign w:val="top"/>
          </w:tcPr>
          <w:p w14:paraId="6938E45B">
            <w:pPr>
              <w:rPr>
                <w:rFonts w:ascii="Arial"/>
                <w:sz w:val="21"/>
              </w:rPr>
            </w:pPr>
          </w:p>
        </w:tc>
        <w:tc>
          <w:tcPr>
            <w:tcW w:w="3093" w:type="dxa"/>
            <w:tcBorders>
              <w:bottom w:val="single" w:color="000000" w:sz="10" w:space="0"/>
            </w:tcBorders>
            <w:vAlign w:val="top"/>
          </w:tcPr>
          <w:p w14:paraId="6C79EC2B">
            <w:pPr>
              <w:spacing w:before="106" w:line="222" w:lineRule="auto"/>
              <w:ind w:left="1337"/>
              <w:rPr>
                <w:rFonts w:ascii="宋体" w:hAnsi="宋体" w:eastAsia="宋体" w:cs="宋体"/>
                <w:sz w:val="22"/>
                <w:szCs w:val="22"/>
              </w:rPr>
            </w:pPr>
            <w:r>
              <w:rPr>
                <w:rFonts w:hint="eastAsia" w:ascii="宋体" w:hAnsi="宋体" w:cs="宋体"/>
                <w:spacing w:val="-7"/>
                <w:sz w:val="22"/>
                <w:szCs w:val="22"/>
                <w:lang w:val="en-US" w:eastAsia="zh-CN"/>
              </w:rPr>
              <w:t>合</w:t>
            </w:r>
            <w:r>
              <w:rPr>
                <w:rFonts w:ascii="宋体" w:hAnsi="宋体" w:eastAsia="宋体" w:cs="宋体"/>
                <w:spacing w:val="-7"/>
                <w:sz w:val="22"/>
                <w:szCs w:val="22"/>
              </w:rPr>
              <w:t>计</w:t>
            </w:r>
          </w:p>
        </w:tc>
        <w:tc>
          <w:tcPr>
            <w:tcW w:w="3555" w:type="dxa"/>
            <w:tcBorders>
              <w:bottom w:val="single" w:color="000000" w:sz="10" w:space="0"/>
              <w:right w:val="single" w:color="000000" w:sz="10" w:space="0"/>
            </w:tcBorders>
            <w:vAlign w:val="top"/>
          </w:tcPr>
          <w:p w14:paraId="10147FE6">
            <w:pPr>
              <w:pStyle w:val="33"/>
              <w:spacing w:before="145" w:line="189" w:lineRule="auto"/>
              <w:ind w:left="1481"/>
              <w:rPr>
                <w:rFonts w:hint="default" w:eastAsia="宋体"/>
                <w:lang w:val="en-US" w:eastAsia="zh-CN"/>
              </w:rPr>
            </w:pPr>
            <w:r>
              <w:rPr>
                <w:rFonts w:hint="eastAsia" w:eastAsia="宋体"/>
                <w:lang w:val="en-US" w:eastAsia="zh-CN"/>
              </w:rPr>
              <w:t>4.7052</w:t>
            </w:r>
          </w:p>
        </w:tc>
      </w:tr>
    </w:tbl>
    <w:p w14:paraId="0258B2FB">
      <w:pPr>
        <w:pStyle w:val="4"/>
        <w:numPr>
          <w:ilvl w:val="0"/>
          <w:numId w:val="0"/>
        </w:numPr>
        <w:ind w:leftChars="200"/>
        <w:jc w:val="both"/>
        <w:rPr>
          <w:b w:val="0"/>
        </w:rPr>
      </w:pPr>
      <w:bookmarkStart w:id="269" w:name="_Toc14432"/>
      <w:bookmarkStart w:id="270" w:name="_Toc12017"/>
      <w:bookmarkStart w:id="271" w:name="_Toc13827"/>
      <w:bookmarkStart w:id="272" w:name="_Toc21672"/>
      <w:bookmarkStart w:id="273" w:name="_Toc25547"/>
      <w:r>
        <w:rPr>
          <w:rFonts w:hint="eastAsia"/>
          <w:lang w:val="en-US" w:eastAsia="zh-CN"/>
        </w:rPr>
        <w:t xml:space="preserve">3.3.4 </w:t>
      </w:r>
      <w:r>
        <w:t>耕地及永久基本农田保护红线禁养区</w:t>
      </w:r>
      <w:bookmarkEnd w:id="269"/>
      <w:bookmarkEnd w:id="270"/>
      <w:bookmarkEnd w:id="271"/>
      <w:bookmarkEnd w:id="272"/>
      <w:bookmarkEnd w:id="273"/>
    </w:p>
    <w:p w14:paraId="31A3BCA2">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 xml:space="preserve"> 2024年国土变更调查数据库可知 ，</w:t>
      </w:r>
      <w:r>
        <w:rPr>
          <w:rFonts w:hint="eastAsia" w:cs="Times New Roman"/>
          <w:sz w:val="28"/>
          <w:szCs w:val="28"/>
          <w:lang w:eastAsia="zh-CN"/>
        </w:rPr>
        <w:t>友好区</w:t>
      </w:r>
      <w:r>
        <w:rPr>
          <w:rFonts w:ascii="Times New Roman" w:hAnsi="Times New Roman" w:eastAsia="宋体" w:cs="Times New Roman"/>
          <w:sz w:val="28"/>
          <w:szCs w:val="28"/>
        </w:rPr>
        <w:t>2024年耕地面积</w:t>
      </w:r>
      <w:r>
        <w:rPr>
          <w:rFonts w:hint="eastAsia" w:ascii="Times New Roman" w:hAnsi="Times New Roman" w:eastAsia="宋体" w:cs="Times New Roman"/>
          <w:sz w:val="28"/>
          <w:szCs w:val="28"/>
        </w:rPr>
        <w:t>10301</w:t>
      </w:r>
      <w:r>
        <w:rPr>
          <w:rFonts w:hint="eastAsia" w:cs="Times New Roman"/>
          <w:sz w:val="28"/>
          <w:szCs w:val="28"/>
          <w:lang w:val="en-US" w:eastAsia="zh-CN"/>
        </w:rPr>
        <w:t>.</w:t>
      </w:r>
      <w:r>
        <w:rPr>
          <w:rFonts w:hint="eastAsia" w:ascii="Times New Roman" w:hAnsi="Times New Roman" w:eastAsia="宋体" w:cs="Times New Roman"/>
          <w:sz w:val="28"/>
          <w:szCs w:val="28"/>
        </w:rPr>
        <w:t>7178</w:t>
      </w:r>
      <w:r>
        <w:rPr>
          <w:rFonts w:ascii="Times New Roman" w:hAnsi="Times New Roman" w:eastAsia="宋体" w:cs="Times New Roman"/>
          <w:sz w:val="28"/>
          <w:szCs w:val="28"/>
        </w:rPr>
        <w:t>公顷；根据</w:t>
      </w:r>
      <w:r>
        <w:rPr>
          <w:rFonts w:hint="eastAsia" w:cs="Times New Roman"/>
          <w:sz w:val="28"/>
          <w:szCs w:val="28"/>
          <w:lang w:eastAsia="zh-CN"/>
        </w:rPr>
        <w:t>友好区</w:t>
      </w:r>
      <w:r>
        <w:rPr>
          <w:rFonts w:ascii="Times New Roman" w:hAnsi="Times New Roman" w:eastAsia="宋体" w:cs="Times New Roman"/>
          <w:sz w:val="28"/>
          <w:szCs w:val="28"/>
        </w:rPr>
        <w:t>核实处置后耕地保护目标和永久基本农田数据库可知，</w:t>
      </w:r>
      <w:r>
        <w:rPr>
          <w:rFonts w:hint="eastAsia" w:cs="Times New Roman"/>
          <w:sz w:val="28"/>
          <w:szCs w:val="28"/>
          <w:lang w:eastAsia="zh-CN"/>
        </w:rPr>
        <w:t>友好区</w:t>
      </w:r>
      <w:r>
        <w:rPr>
          <w:rFonts w:ascii="Times New Roman" w:hAnsi="Times New Roman" w:eastAsia="宋体" w:cs="Times New Roman"/>
          <w:sz w:val="28"/>
          <w:szCs w:val="28"/>
        </w:rPr>
        <w:t>耕地保护目标面积</w:t>
      </w:r>
      <w:r>
        <w:rPr>
          <w:rFonts w:hint="eastAsia" w:ascii="Times New Roman" w:hAnsi="Times New Roman" w:eastAsia="宋体" w:cs="Times New Roman"/>
          <w:sz w:val="28"/>
          <w:szCs w:val="28"/>
        </w:rPr>
        <w:t>9784</w:t>
      </w:r>
      <w:r>
        <w:rPr>
          <w:rFonts w:hint="eastAsia" w:cs="Times New Roman"/>
          <w:sz w:val="28"/>
          <w:szCs w:val="28"/>
          <w:lang w:val="en-US" w:eastAsia="zh-CN"/>
        </w:rPr>
        <w:t>.</w:t>
      </w:r>
      <w:r>
        <w:rPr>
          <w:rFonts w:hint="eastAsia" w:ascii="Times New Roman" w:hAnsi="Times New Roman" w:eastAsia="宋体" w:cs="Times New Roman"/>
          <w:sz w:val="28"/>
          <w:szCs w:val="28"/>
        </w:rPr>
        <w:t>7891</w:t>
      </w:r>
      <w:r>
        <w:rPr>
          <w:rFonts w:ascii="Times New Roman" w:hAnsi="Times New Roman" w:eastAsia="宋体" w:cs="Times New Roman"/>
          <w:sz w:val="28"/>
          <w:szCs w:val="28"/>
        </w:rPr>
        <w:t>公顷，永久基本农田面积</w:t>
      </w:r>
      <w:r>
        <w:rPr>
          <w:rFonts w:hint="eastAsia" w:ascii="Times New Roman" w:hAnsi="Times New Roman" w:eastAsia="宋体" w:cs="Times New Roman"/>
          <w:sz w:val="28"/>
          <w:szCs w:val="28"/>
        </w:rPr>
        <w:t>6541</w:t>
      </w:r>
      <w:r>
        <w:rPr>
          <w:rFonts w:hint="eastAsia" w:cs="Times New Roman"/>
          <w:sz w:val="28"/>
          <w:szCs w:val="28"/>
          <w:lang w:val="en-US" w:eastAsia="zh-CN"/>
        </w:rPr>
        <w:t>.</w:t>
      </w:r>
      <w:r>
        <w:rPr>
          <w:rFonts w:hint="eastAsia" w:ascii="Times New Roman" w:hAnsi="Times New Roman" w:eastAsia="宋体" w:cs="Times New Roman"/>
          <w:sz w:val="28"/>
          <w:szCs w:val="28"/>
        </w:rPr>
        <w:t>0277</w:t>
      </w:r>
      <w:r>
        <w:rPr>
          <w:rFonts w:ascii="Times New Roman" w:hAnsi="Times New Roman" w:eastAsia="宋体" w:cs="Times New Roman"/>
          <w:sz w:val="28"/>
          <w:szCs w:val="28"/>
        </w:rPr>
        <w:t>公顷。将</w:t>
      </w:r>
      <w:r>
        <w:rPr>
          <w:rFonts w:hint="eastAsia" w:cs="Times New Roman"/>
          <w:sz w:val="28"/>
          <w:szCs w:val="28"/>
          <w:lang w:eastAsia="zh-CN"/>
        </w:rPr>
        <w:t>友好区</w:t>
      </w:r>
      <w:r>
        <w:rPr>
          <w:rFonts w:ascii="Times New Roman" w:hAnsi="Times New Roman" w:eastAsia="宋体" w:cs="Times New Roman"/>
          <w:sz w:val="28"/>
          <w:szCs w:val="28"/>
        </w:rPr>
        <w:t>耕地及永久基本农田保护红线范围内的水域滩涂划为禁养区，面积为</w:t>
      </w:r>
      <w:r>
        <w:rPr>
          <w:rFonts w:hint="eastAsia" w:ascii="Times New Roman" w:hAnsi="Times New Roman" w:eastAsia="宋体" w:cs="Times New Roman"/>
          <w:sz w:val="28"/>
          <w:szCs w:val="28"/>
          <w:lang w:val="en-US" w:eastAsia="zh-CN"/>
        </w:rPr>
        <w:t>2.1043</w:t>
      </w:r>
      <w:r>
        <w:rPr>
          <w:rFonts w:ascii="Times New Roman" w:hAnsi="Times New Roman" w:eastAsia="宋体" w:cs="Times New Roman"/>
          <w:sz w:val="28"/>
          <w:szCs w:val="28"/>
        </w:rPr>
        <w:t>公顷。</w:t>
      </w:r>
    </w:p>
    <w:p w14:paraId="4E26C1A9">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12</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rPr>
        <w:t>耕地及永久基本农田保护红线范围内水域滩涂禁养区</w:t>
      </w:r>
      <w:r>
        <w:rPr>
          <w:rFonts w:hint="eastAsia" w:ascii="黑体" w:hAnsi="黑体" w:eastAsia="黑体" w:cs="黑体"/>
          <w:lang w:val="en-US" w:eastAsia="zh-CN"/>
        </w:rPr>
        <w:t>面积</w:t>
      </w:r>
      <w:r>
        <w:rPr>
          <w:rFonts w:hint="eastAsia" w:ascii="黑体" w:hAnsi="黑体" w:eastAsia="黑体" w:cs="黑体"/>
        </w:rPr>
        <w:t>统计表</w:t>
      </w:r>
    </w:p>
    <w:tbl>
      <w:tblPr>
        <w:tblStyle w:val="21"/>
        <w:tblW w:w="8698" w:type="dxa"/>
        <w:tblInd w:w="96" w:type="dxa"/>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498"/>
        <w:gridCol w:w="3956"/>
        <w:gridCol w:w="2244"/>
      </w:tblGrid>
      <w:tr w14:paraId="26E61F02">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8" w:hRule="atLeast"/>
        </w:trPr>
        <w:tc>
          <w:tcPr>
            <w:tcW w:w="2498" w:type="dxa"/>
            <w:tcBorders>
              <w:tl2br w:val="nil"/>
              <w:tr2bl w:val="nil"/>
            </w:tcBorders>
            <w:shd w:val="clear" w:color="auto" w:fill="auto"/>
            <w:vAlign w:val="center"/>
          </w:tcPr>
          <w:p w14:paraId="6024C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类型</w:t>
            </w:r>
          </w:p>
        </w:tc>
        <w:tc>
          <w:tcPr>
            <w:tcW w:w="3956" w:type="dxa"/>
            <w:tcBorders>
              <w:tl2br w:val="nil"/>
              <w:tr2bl w:val="nil"/>
            </w:tcBorders>
            <w:shd w:val="clear" w:color="auto" w:fill="auto"/>
            <w:vAlign w:val="center"/>
          </w:tcPr>
          <w:p w14:paraId="3365C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地类</w:t>
            </w:r>
          </w:p>
        </w:tc>
        <w:tc>
          <w:tcPr>
            <w:tcW w:w="2244" w:type="dxa"/>
            <w:tcBorders>
              <w:tl2br w:val="nil"/>
              <w:tr2bl w:val="nil"/>
            </w:tcBorders>
            <w:shd w:val="clear" w:color="auto" w:fill="auto"/>
            <w:vAlign w:val="center"/>
          </w:tcPr>
          <w:p w14:paraId="15463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r>
      <w:tr w14:paraId="7515ABBA">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8" w:hRule="atLeast"/>
        </w:trPr>
        <w:tc>
          <w:tcPr>
            <w:tcW w:w="2498" w:type="dxa"/>
            <w:vMerge w:val="restart"/>
            <w:tcBorders>
              <w:tl2br w:val="nil"/>
              <w:tr2bl w:val="nil"/>
            </w:tcBorders>
            <w:shd w:val="clear" w:color="auto" w:fill="auto"/>
            <w:vAlign w:val="center"/>
          </w:tcPr>
          <w:p w14:paraId="02C3D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耕地及永久基本农田保护红线</w:t>
            </w:r>
          </w:p>
        </w:tc>
        <w:tc>
          <w:tcPr>
            <w:tcW w:w="3956" w:type="dxa"/>
            <w:tcBorders>
              <w:tl2br w:val="nil"/>
              <w:tr2bl w:val="nil"/>
            </w:tcBorders>
            <w:shd w:val="clear" w:color="auto" w:fill="auto"/>
            <w:vAlign w:val="center"/>
          </w:tcPr>
          <w:p w14:paraId="1FC5B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河流水面</w:t>
            </w:r>
          </w:p>
        </w:tc>
        <w:tc>
          <w:tcPr>
            <w:tcW w:w="2244" w:type="dxa"/>
            <w:tcBorders>
              <w:tl2br w:val="nil"/>
              <w:tr2bl w:val="nil"/>
            </w:tcBorders>
            <w:shd w:val="clear" w:color="auto" w:fill="auto"/>
            <w:vAlign w:val="center"/>
          </w:tcPr>
          <w:p w14:paraId="254232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0.3662</w:t>
            </w:r>
          </w:p>
        </w:tc>
      </w:tr>
      <w:tr w14:paraId="7F763BF7">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2498" w:type="dxa"/>
            <w:vMerge w:val="continue"/>
            <w:tcBorders>
              <w:tl2br w:val="nil"/>
              <w:tr2bl w:val="nil"/>
            </w:tcBorders>
            <w:shd w:val="clear" w:color="auto" w:fill="auto"/>
            <w:vAlign w:val="center"/>
          </w:tcPr>
          <w:p w14:paraId="52530872">
            <w:pPr>
              <w:jc w:val="center"/>
              <w:rPr>
                <w:rFonts w:hint="eastAsia" w:ascii="宋体" w:hAnsi="宋体" w:eastAsia="宋体" w:cs="宋体"/>
                <w:i w:val="0"/>
                <w:iCs w:val="0"/>
                <w:color w:val="000000"/>
                <w:sz w:val="22"/>
                <w:szCs w:val="22"/>
                <w:u w:val="none"/>
              </w:rPr>
            </w:pPr>
          </w:p>
        </w:tc>
        <w:tc>
          <w:tcPr>
            <w:tcW w:w="3956" w:type="dxa"/>
            <w:tcBorders>
              <w:tl2br w:val="nil"/>
              <w:tr2bl w:val="nil"/>
            </w:tcBorders>
            <w:shd w:val="clear" w:color="auto" w:fill="auto"/>
            <w:vAlign w:val="center"/>
          </w:tcPr>
          <w:p w14:paraId="6AA11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坑塘水面</w:t>
            </w:r>
          </w:p>
        </w:tc>
        <w:tc>
          <w:tcPr>
            <w:tcW w:w="2244" w:type="dxa"/>
            <w:tcBorders>
              <w:tl2br w:val="nil"/>
              <w:tr2bl w:val="nil"/>
            </w:tcBorders>
            <w:shd w:val="clear" w:color="auto" w:fill="auto"/>
            <w:vAlign w:val="center"/>
          </w:tcPr>
          <w:p w14:paraId="561019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1.7381</w:t>
            </w:r>
          </w:p>
        </w:tc>
      </w:tr>
      <w:tr w14:paraId="765A7C34">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2498" w:type="dxa"/>
            <w:vMerge w:val="continue"/>
            <w:tcBorders>
              <w:tl2br w:val="nil"/>
              <w:tr2bl w:val="nil"/>
            </w:tcBorders>
            <w:shd w:val="clear" w:color="auto" w:fill="auto"/>
            <w:vAlign w:val="center"/>
          </w:tcPr>
          <w:p w14:paraId="36600FB9">
            <w:pPr>
              <w:jc w:val="center"/>
              <w:rPr>
                <w:rFonts w:hint="eastAsia" w:ascii="宋体" w:hAnsi="宋体" w:eastAsia="宋体" w:cs="宋体"/>
                <w:i w:val="0"/>
                <w:iCs w:val="0"/>
                <w:color w:val="000000"/>
                <w:sz w:val="22"/>
                <w:szCs w:val="22"/>
                <w:u w:val="none"/>
              </w:rPr>
            </w:pPr>
          </w:p>
        </w:tc>
        <w:tc>
          <w:tcPr>
            <w:tcW w:w="3956" w:type="dxa"/>
            <w:tcBorders>
              <w:tl2br w:val="nil"/>
              <w:tr2bl w:val="nil"/>
            </w:tcBorders>
            <w:shd w:val="clear" w:color="auto" w:fill="auto"/>
            <w:vAlign w:val="center"/>
          </w:tcPr>
          <w:p w14:paraId="0AD67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合</w:t>
            </w:r>
            <w:r>
              <w:rPr>
                <w:rFonts w:hint="eastAsia" w:ascii="宋体" w:hAnsi="宋体" w:eastAsia="宋体" w:cs="宋体"/>
                <w:i w:val="0"/>
                <w:iCs w:val="0"/>
                <w:color w:val="000000"/>
                <w:kern w:val="0"/>
                <w:sz w:val="22"/>
                <w:szCs w:val="22"/>
                <w:u w:val="none"/>
                <w:lang w:val="en-US" w:eastAsia="zh-CN" w:bidi="ar"/>
              </w:rPr>
              <w:t>计</w:t>
            </w:r>
          </w:p>
        </w:tc>
        <w:tc>
          <w:tcPr>
            <w:tcW w:w="2244" w:type="dxa"/>
            <w:tcBorders>
              <w:tl2br w:val="nil"/>
              <w:tr2bl w:val="nil"/>
            </w:tcBorders>
            <w:shd w:val="clear" w:color="auto" w:fill="auto"/>
            <w:vAlign w:val="center"/>
          </w:tcPr>
          <w:p w14:paraId="41545C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2.1043</w:t>
            </w:r>
          </w:p>
        </w:tc>
      </w:tr>
    </w:tbl>
    <w:p w14:paraId="3CAFB2E8">
      <w:pPr>
        <w:pStyle w:val="4"/>
        <w:numPr>
          <w:ilvl w:val="0"/>
          <w:numId w:val="0"/>
        </w:numPr>
        <w:ind w:leftChars="200"/>
        <w:jc w:val="both"/>
        <w:rPr>
          <w:b w:val="0"/>
        </w:rPr>
      </w:pPr>
      <w:bookmarkStart w:id="274" w:name="_Toc10572"/>
      <w:bookmarkStart w:id="275" w:name="_Toc6418"/>
      <w:bookmarkStart w:id="276" w:name="_Toc14938"/>
      <w:bookmarkStart w:id="277" w:name="_Toc10320"/>
      <w:bookmarkStart w:id="278" w:name="_Toc30827"/>
      <w:r>
        <w:rPr>
          <w:rFonts w:hint="eastAsia"/>
          <w:b w:val="0"/>
          <w:lang w:val="en-US" w:eastAsia="zh-CN"/>
        </w:rPr>
        <w:t xml:space="preserve">3.3.5 </w:t>
      </w:r>
      <w:r>
        <w:rPr>
          <w:rFonts w:hint="eastAsia"/>
          <w:b w:val="0"/>
        </w:rPr>
        <w:t>其他生态极敏感区及极脆弱区禁养区</w:t>
      </w:r>
      <w:bookmarkEnd w:id="274"/>
      <w:bookmarkEnd w:id="275"/>
      <w:bookmarkEnd w:id="276"/>
      <w:bookmarkEnd w:id="277"/>
    </w:p>
    <w:p w14:paraId="7696A354">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根据伊春市国土空间</w:t>
      </w:r>
      <w:r>
        <w:rPr>
          <w:rFonts w:hint="eastAsia" w:cs="Times New Roman"/>
          <w:sz w:val="28"/>
          <w:szCs w:val="28"/>
          <w:lang w:val="en-US" w:eastAsia="zh-CN"/>
        </w:rPr>
        <w:t>总体</w:t>
      </w:r>
      <w:r>
        <w:rPr>
          <w:rFonts w:ascii="Times New Roman" w:hAnsi="Times New Roman" w:eastAsia="宋体" w:cs="Times New Roman"/>
          <w:sz w:val="28"/>
          <w:szCs w:val="28"/>
        </w:rPr>
        <w:t>规划数据库可知</w:t>
      </w:r>
      <w:r>
        <w:rPr>
          <w:rFonts w:hint="eastAsia" w:cs="Times New Roman"/>
          <w:sz w:val="28"/>
          <w:szCs w:val="28"/>
          <w:lang w:val="en-US" w:eastAsia="zh-CN"/>
        </w:rPr>
        <w:t xml:space="preserve"> </w:t>
      </w:r>
      <w:r>
        <w:rPr>
          <w:rFonts w:ascii="Times New Roman" w:hAnsi="Times New Roman" w:eastAsia="宋体" w:cs="Times New Roman"/>
          <w:sz w:val="28"/>
          <w:szCs w:val="28"/>
        </w:rPr>
        <w:t>，</w:t>
      </w:r>
      <w:r>
        <w:rPr>
          <w:rFonts w:hint="eastAsia" w:cs="Times New Roman"/>
          <w:sz w:val="28"/>
          <w:szCs w:val="28"/>
          <w:lang w:eastAsia="zh-CN"/>
        </w:rPr>
        <w:t>友好区</w:t>
      </w:r>
      <w:r>
        <w:rPr>
          <w:rFonts w:ascii="Times New Roman" w:hAnsi="Times New Roman" w:eastAsia="宋体" w:cs="Times New Roman"/>
          <w:sz w:val="28"/>
          <w:szCs w:val="28"/>
        </w:rPr>
        <w:t>生态极脆弱区面积为</w:t>
      </w:r>
      <w:r>
        <w:rPr>
          <w:rFonts w:hint="eastAsia" w:ascii="Times New Roman" w:hAnsi="Times New Roman" w:eastAsia="宋体" w:cs="Times New Roman"/>
          <w:sz w:val="28"/>
          <w:szCs w:val="28"/>
        </w:rPr>
        <w:t>809</w:t>
      </w:r>
      <w:r>
        <w:rPr>
          <w:rFonts w:hint="eastAsia" w:cs="Times New Roman"/>
          <w:sz w:val="28"/>
          <w:szCs w:val="28"/>
          <w:lang w:val="en-US" w:eastAsia="zh-CN"/>
        </w:rPr>
        <w:t>.</w:t>
      </w:r>
      <w:r>
        <w:rPr>
          <w:rFonts w:hint="eastAsia" w:ascii="Times New Roman" w:hAnsi="Times New Roman" w:eastAsia="宋体" w:cs="Times New Roman"/>
          <w:sz w:val="28"/>
          <w:szCs w:val="28"/>
        </w:rPr>
        <w:t>711</w:t>
      </w:r>
      <w:r>
        <w:rPr>
          <w:rFonts w:hint="eastAsia" w:cs="Times New Roman"/>
          <w:sz w:val="28"/>
          <w:szCs w:val="28"/>
          <w:lang w:val="en-US" w:eastAsia="zh-CN"/>
        </w:rPr>
        <w:t>3</w:t>
      </w:r>
      <w:r>
        <w:rPr>
          <w:rFonts w:ascii="Times New Roman" w:hAnsi="Times New Roman" w:eastAsia="宋体" w:cs="Times New Roman"/>
          <w:sz w:val="28"/>
          <w:szCs w:val="28"/>
        </w:rPr>
        <w:t>公顷，将</w:t>
      </w:r>
      <w:r>
        <w:rPr>
          <w:rFonts w:hint="eastAsia" w:cs="Times New Roman"/>
          <w:sz w:val="28"/>
          <w:szCs w:val="28"/>
          <w:lang w:eastAsia="zh-CN"/>
        </w:rPr>
        <w:t>友好区</w:t>
      </w:r>
      <w:r>
        <w:rPr>
          <w:rFonts w:ascii="Times New Roman" w:hAnsi="Times New Roman" w:eastAsia="宋体" w:cs="Times New Roman"/>
          <w:sz w:val="28"/>
          <w:szCs w:val="28"/>
        </w:rPr>
        <w:t>生态极脆弱区范围内的水域滩涂划为禁养区，面积为</w:t>
      </w:r>
      <w:r>
        <w:rPr>
          <w:rFonts w:hint="eastAsia" w:ascii="Times New Roman" w:hAnsi="Times New Roman" w:eastAsia="宋体" w:cs="Times New Roman"/>
          <w:sz w:val="28"/>
          <w:szCs w:val="28"/>
          <w:lang w:val="en-US" w:eastAsia="zh-CN"/>
        </w:rPr>
        <w:t>7.2119</w:t>
      </w:r>
      <w:r>
        <w:rPr>
          <w:rFonts w:ascii="Times New Roman" w:hAnsi="Times New Roman" w:eastAsia="宋体" w:cs="Times New Roman"/>
          <w:sz w:val="28"/>
          <w:szCs w:val="28"/>
        </w:rPr>
        <w:t>公顷。</w:t>
      </w:r>
    </w:p>
    <w:p w14:paraId="06F36542">
      <w:pPr>
        <w:pStyle w:val="11"/>
        <w:spacing w:line="360" w:lineRule="auto"/>
        <w:ind w:leftChars="0" w:firstLine="560" w:firstLineChars="200"/>
        <w:jc w:val="both"/>
        <w:rPr>
          <w:rFonts w:ascii="Times New Roman" w:hAnsi="Times New Roman" w:eastAsia="宋体" w:cs="Times New Roman"/>
          <w:sz w:val="28"/>
          <w:szCs w:val="28"/>
        </w:rPr>
      </w:pPr>
    </w:p>
    <w:p w14:paraId="5CCDF71B">
      <w:pPr>
        <w:pStyle w:val="35"/>
        <w:jc w:val="center"/>
        <w:rPr>
          <w:rFonts w:hint="eastAsia" w:ascii="黑体" w:hAnsi="黑体" w:eastAsia="黑体" w:cs="黑体"/>
        </w:rPr>
      </w:pPr>
      <w:r>
        <w:rPr>
          <w:rFonts w:hint="eastAsia" w:ascii="黑体" w:hAnsi="黑体" w:eastAsia="黑体" w:cs="黑体"/>
        </w:rPr>
        <w:t>表3-1</w:t>
      </w:r>
      <w:r>
        <w:rPr>
          <w:rFonts w:hint="eastAsia" w:ascii="黑体" w:hAnsi="黑体" w:eastAsia="黑体" w:cs="黑体"/>
          <w:lang w:val="en-US" w:eastAsia="zh-CN"/>
        </w:rPr>
        <w:t>3</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rPr>
        <w:t>生态极脆弱区范围内水域滩涂禁养区</w:t>
      </w:r>
      <w:r>
        <w:rPr>
          <w:rFonts w:hint="eastAsia" w:ascii="黑体" w:hAnsi="黑体" w:eastAsia="黑体" w:cs="黑体"/>
          <w:lang w:val="en-US" w:eastAsia="zh-CN"/>
        </w:rPr>
        <w:t>面积</w:t>
      </w:r>
      <w:r>
        <w:rPr>
          <w:rFonts w:hint="eastAsia" w:ascii="黑体" w:hAnsi="黑体" w:eastAsia="黑体" w:cs="黑体"/>
        </w:rPr>
        <w:t>统计表</w:t>
      </w:r>
    </w:p>
    <w:tbl>
      <w:tblPr>
        <w:tblStyle w:val="21"/>
        <w:tblW w:w="879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6"/>
        <w:gridCol w:w="2594"/>
        <w:gridCol w:w="4379"/>
      </w:tblGrid>
      <w:tr w14:paraId="7CA80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blHeader/>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4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类型</w:t>
            </w:r>
          </w:p>
        </w:tc>
        <w:tc>
          <w:tcPr>
            <w:tcW w:w="2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B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地类</w:t>
            </w:r>
          </w:p>
        </w:tc>
        <w:tc>
          <w:tcPr>
            <w:tcW w:w="4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3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r>
      <w:tr w14:paraId="3BE6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1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2F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生态极脆弱区</w:t>
            </w:r>
          </w:p>
        </w:tc>
        <w:tc>
          <w:tcPr>
            <w:tcW w:w="2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4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河流水面</w:t>
            </w:r>
          </w:p>
        </w:tc>
        <w:tc>
          <w:tcPr>
            <w:tcW w:w="4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E5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3.9949</w:t>
            </w:r>
          </w:p>
        </w:tc>
      </w:tr>
      <w:tr w14:paraId="4DA1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D5C32">
            <w:pPr>
              <w:jc w:val="center"/>
              <w:rPr>
                <w:rFonts w:hint="eastAsia" w:ascii="宋体" w:hAnsi="宋体" w:eastAsia="宋体" w:cs="宋体"/>
                <w:i w:val="0"/>
                <w:iCs w:val="0"/>
                <w:color w:val="000000"/>
                <w:sz w:val="22"/>
                <w:szCs w:val="22"/>
                <w:u w:val="none"/>
              </w:rPr>
            </w:pPr>
          </w:p>
        </w:tc>
        <w:tc>
          <w:tcPr>
            <w:tcW w:w="2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7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坑塘水面</w:t>
            </w:r>
          </w:p>
        </w:tc>
        <w:tc>
          <w:tcPr>
            <w:tcW w:w="4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F1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1.8361</w:t>
            </w:r>
          </w:p>
        </w:tc>
      </w:tr>
      <w:tr w14:paraId="27AD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BA96D">
            <w:pPr>
              <w:jc w:val="center"/>
              <w:rPr>
                <w:rFonts w:hint="eastAsia" w:ascii="宋体" w:hAnsi="宋体" w:eastAsia="宋体" w:cs="宋体"/>
                <w:i w:val="0"/>
                <w:iCs w:val="0"/>
                <w:color w:val="000000"/>
                <w:sz w:val="22"/>
                <w:szCs w:val="22"/>
                <w:u w:val="none"/>
              </w:rPr>
            </w:pPr>
          </w:p>
        </w:tc>
        <w:tc>
          <w:tcPr>
            <w:tcW w:w="2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7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养殖坑塘</w:t>
            </w:r>
          </w:p>
        </w:tc>
        <w:tc>
          <w:tcPr>
            <w:tcW w:w="4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4F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0.9055</w:t>
            </w:r>
          </w:p>
        </w:tc>
      </w:tr>
      <w:tr w14:paraId="167D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CCFC2">
            <w:pPr>
              <w:jc w:val="center"/>
              <w:rPr>
                <w:rFonts w:hint="eastAsia" w:ascii="宋体" w:hAnsi="宋体" w:eastAsia="宋体" w:cs="宋体"/>
                <w:i w:val="0"/>
                <w:iCs w:val="0"/>
                <w:color w:val="000000"/>
                <w:sz w:val="22"/>
                <w:szCs w:val="22"/>
                <w:u w:val="none"/>
              </w:rPr>
            </w:pPr>
          </w:p>
        </w:tc>
        <w:tc>
          <w:tcPr>
            <w:tcW w:w="2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A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内陆滩涂</w:t>
            </w:r>
          </w:p>
        </w:tc>
        <w:tc>
          <w:tcPr>
            <w:tcW w:w="4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32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0.4754</w:t>
            </w:r>
          </w:p>
        </w:tc>
      </w:tr>
      <w:tr w14:paraId="46B3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2F5C3">
            <w:pPr>
              <w:jc w:val="center"/>
              <w:rPr>
                <w:rFonts w:hint="eastAsia" w:ascii="宋体" w:hAnsi="宋体" w:eastAsia="宋体" w:cs="宋体"/>
                <w:i w:val="0"/>
                <w:iCs w:val="0"/>
                <w:color w:val="000000"/>
                <w:sz w:val="22"/>
                <w:szCs w:val="22"/>
                <w:u w:val="none"/>
              </w:rPr>
            </w:pPr>
          </w:p>
        </w:tc>
        <w:tc>
          <w:tcPr>
            <w:tcW w:w="2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8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ED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7.2119</w:t>
            </w:r>
          </w:p>
        </w:tc>
      </w:tr>
    </w:tbl>
    <w:p w14:paraId="23898AF9">
      <w:pPr>
        <w:pStyle w:val="35"/>
        <w:keepNext w:val="0"/>
        <w:keepLines w:val="0"/>
        <w:pageBreakBefore w:val="0"/>
        <w:widowControl w:val="0"/>
        <w:kinsoku/>
        <w:wordWrap/>
        <w:overflowPunct/>
        <w:topLinePunct w:val="0"/>
        <w:autoSpaceDE/>
        <w:autoSpaceDN/>
        <w:bidi w:val="0"/>
        <w:adjustRightInd w:val="0"/>
        <w:snapToGrid/>
        <w:ind w:firstLine="601"/>
        <w:jc w:val="both"/>
        <w:textAlignment w:val="auto"/>
        <w:outlineLvl w:val="2"/>
        <w:rPr>
          <w:rFonts w:hint="eastAsia" w:ascii="Times New Roman" w:hAnsi="Times New Roman" w:eastAsia="黑体" w:cs="Times New Roman"/>
          <w:b w:val="0"/>
          <w:color w:val="auto"/>
          <w:kern w:val="2"/>
          <w:sz w:val="30"/>
          <w:szCs w:val="24"/>
          <w:lang w:val="en-US" w:eastAsia="zh-CN" w:bidi="ar-SA"/>
        </w:rPr>
      </w:pPr>
      <w:bookmarkStart w:id="279" w:name="_Toc22581"/>
      <w:bookmarkStart w:id="280" w:name="_Toc26822"/>
      <w:bookmarkStart w:id="281" w:name="_Toc24030"/>
      <w:r>
        <w:rPr>
          <w:rFonts w:hint="eastAsia" w:ascii="Times New Roman" w:hAnsi="Times New Roman" w:eastAsia="黑体" w:cs="Times New Roman"/>
          <w:b w:val="0"/>
          <w:color w:val="auto"/>
          <w:kern w:val="2"/>
          <w:sz w:val="30"/>
          <w:szCs w:val="24"/>
          <w:lang w:val="en-US" w:eastAsia="zh-CN" w:bidi="ar-SA"/>
        </w:rPr>
        <w:t>3.</w:t>
      </w:r>
      <w:r>
        <w:rPr>
          <w:rFonts w:hint="eastAsia" w:eastAsia="黑体" w:cs="Times New Roman"/>
          <w:b w:val="0"/>
          <w:color w:val="auto"/>
          <w:kern w:val="2"/>
          <w:sz w:val="30"/>
          <w:szCs w:val="24"/>
          <w:lang w:val="en-US" w:eastAsia="zh-CN" w:bidi="ar-SA"/>
        </w:rPr>
        <w:t>3.6</w:t>
      </w:r>
      <w:r>
        <w:rPr>
          <w:rFonts w:hint="eastAsia" w:ascii="Times New Roman" w:hAnsi="Times New Roman" w:eastAsia="黑体" w:cs="Times New Roman"/>
          <w:b w:val="0"/>
          <w:color w:val="auto"/>
          <w:kern w:val="2"/>
          <w:sz w:val="30"/>
          <w:szCs w:val="24"/>
          <w:lang w:val="en-US" w:eastAsia="zh-CN" w:bidi="ar-SA"/>
        </w:rPr>
        <w:t xml:space="preserve"> </w:t>
      </w:r>
      <w:r>
        <w:rPr>
          <w:rFonts w:hint="eastAsia" w:eastAsia="黑体" w:cs="Times New Roman"/>
          <w:b w:val="0"/>
          <w:color w:val="auto"/>
          <w:kern w:val="2"/>
          <w:sz w:val="30"/>
          <w:szCs w:val="24"/>
          <w:lang w:val="en-US" w:eastAsia="zh-CN" w:bidi="ar-SA"/>
        </w:rPr>
        <w:t>禁养区</w:t>
      </w:r>
      <w:r>
        <w:rPr>
          <w:rFonts w:hint="eastAsia" w:ascii="Times New Roman" w:hAnsi="Times New Roman" w:eastAsia="黑体" w:cs="Times New Roman"/>
          <w:b w:val="0"/>
          <w:color w:val="auto"/>
          <w:kern w:val="2"/>
          <w:sz w:val="30"/>
          <w:szCs w:val="24"/>
          <w:lang w:val="en-US" w:eastAsia="zh-CN" w:bidi="ar-SA"/>
        </w:rPr>
        <w:t>管控措施</w:t>
      </w:r>
      <w:bookmarkEnd w:id="279"/>
      <w:bookmarkEnd w:id="280"/>
      <w:bookmarkEnd w:id="281"/>
    </w:p>
    <w:p w14:paraId="04868A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kern w:val="2"/>
          <w:sz w:val="28"/>
          <w:szCs w:val="28"/>
          <w:lang w:bidi="ar-SA"/>
        </w:rPr>
      </w:pPr>
      <w:bookmarkStart w:id="282" w:name="_Toc30860"/>
      <w:bookmarkStart w:id="283" w:name="_Toc32081"/>
      <w:r>
        <w:rPr>
          <w:rFonts w:hint="eastAsia" w:ascii="Times New Roman" w:hAnsi="Times New Roman" w:eastAsia="宋体" w:cs="Times New Roman"/>
          <w:kern w:val="2"/>
          <w:sz w:val="28"/>
          <w:szCs w:val="28"/>
          <w:lang w:val="en-US" w:eastAsia="zh-CN" w:bidi="ar-SA"/>
        </w:rPr>
        <w:t>（1）</w:t>
      </w:r>
      <w:r>
        <w:rPr>
          <w:rFonts w:ascii="Times New Roman" w:hAnsi="Times New Roman" w:eastAsia="宋体" w:cs="Times New Roman"/>
          <w:kern w:val="2"/>
          <w:sz w:val="28"/>
          <w:szCs w:val="28"/>
          <w:lang w:val="en-US" w:eastAsia="zh-CN" w:bidi="ar-SA"/>
        </w:rPr>
        <w:t>严格空间用途管制，全面禁止养殖活动禁养区内严禁任何形式水产养殖、投饵养殖、围栏围网养殖、养殖坑塘开挖等行为，严禁审批发放水域滩涂养殖证，严禁以任何名义新增养殖设施、扩大养殖规模，确保禁养区只保护、不开发、不养殖。</w:t>
      </w:r>
    </w:p>
    <w:p w14:paraId="1455F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kern w:val="2"/>
          <w:sz w:val="28"/>
          <w:szCs w:val="28"/>
          <w:lang w:bidi="ar-SA"/>
        </w:rPr>
      </w:pPr>
      <w:r>
        <w:rPr>
          <w:rFonts w:hint="eastAsia" w:ascii="Times New Roman" w:hAnsi="Times New Roman" w:eastAsia="宋体" w:cs="Times New Roman"/>
          <w:kern w:val="2"/>
          <w:sz w:val="28"/>
          <w:szCs w:val="28"/>
          <w:lang w:val="en-US" w:eastAsia="zh-CN" w:bidi="ar-SA"/>
        </w:rPr>
        <w:t>（2）</w:t>
      </w:r>
      <w:r>
        <w:rPr>
          <w:rFonts w:ascii="Times New Roman" w:hAnsi="Times New Roman" w:eastAsia="宋体" w:cs="Times New Roman"/>
          <w:kern w:val="2"/>
          <w:sz w:val="28"/>
          <w:szCs w:val="28"/>
          <w:lang w:val="en-US" w:eastAsia="zh-CN" w:bidi="ar-SA"/>
        </w:rPr>
        <w:t>依法清退存量养殖，稳妥处置历史遗留对禁养区内现有养殖行为、养殖设施、养殖坑塘，依法限期关停、搬迁、拆除、清退；对合法合规养殖主体造成经济损失的，按规定予以合理补偿，妥善安置生产生活，杜绝 “一刀切”“运动式” 清退。</w:t>
      </w:r>
    </w:p>
    <w:p w14:paraId="41C459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kern w:val="2"/>
          <w:sz w:val="28"/>
          <w:szCs w:val="28"/>
          <w:lang w:bidi="ar-SA"/>
        </w:rPr>
      </w:pPr>
      <w:r>
        <w:rPr>
          <w:rFonts w:hint="eastAsia" w:ascii="Times New Roman" w:hAnsi="Times New Roman" w:eastAsia="宋体" w:cs="Times New Roman"/>
          <w:kern w:val="2"/>
          <w:sz w:val="28"/>
          <w:szCs w:val="28"/>
          <w:lang w:val="en-US" w:eastAsia="zh-CN" w:bidi="ar-SA"/>
        </w:rPr>
        <w:t>（3）</w:t>
      </w:r>
      <w:r>
        <w:rPr>
          <w:rFonts w:ascii="Times New Roman" w:hAnsi="Times New Roman" w:eastAsia="宋体" w:cs="Times New Roman"/>
          <w:kern w:val="2"/>
          <w:sz w:val="28"/>
          <w:szCs w:val="28"/>
          <w:lang w:val="en-US" w:eastAsia="zh-CN" w:bidi="ar-SA"/>
        </w:rPr>
        <w:t>强化执法监管巡查，严防反弹回潮建立区、镇、村三级联动监管机制，实行常态化巡查、网格化管理，重点排查偷养、私搭乱建、尾水直排等违法行为；联合渔业、生态环境、水利、自然资源等部门开展专项执法，依法查处违规养殖，严肃追责问责。</w:t>
      </w:r>
    </w:p>
    <w:p w14:paraId="7B5F9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kern w:val="2"/>
          <w:sz w:val="28"/>
          <w:szCs w:val="28"/>
          <w:lang w:bidi="ar-SA"/>
        </w:rPr>
      </w:pPr>
      <w:r>
        <w:rPr>
          <w:rFonts w:hint="eastAsia" w:ascii="Times New Roman" w:hAnsi="Times New Roman" w:eastAsia="宋体" w:cs="Times New Roman"/>
          <w:kern w:val="2"/>
          <w:sz w:val="28"/>
          <w:szCs w:val="28"/>
          <w:lang w:val="en-US" w:eastAsia="zh-CN" w:bidi="ar-SA"/>
        </w:rPr>
        <w:t>（4）</w:t>
      </w:r>
      <w:r>
        <w:rPr>
          <w:rFonts w:ascii="Times New Roman" w:hAnsi="Times New Roman" w:eastAsia="宋体" w:cs="Times New Roman"/>
          <w:kern w:val="2"/>
          <w:sz w:val="28"/>
          <w:szCs w:val="28"/>
          <w:lang w:val="en-US" w:eastAsia="zh-CN" w:bidi="ar-SA"/>
        </w:rPr>
        <w:t>加强生态保护修复，提升生态功能对清退恢复水域开展生态修复，实施增殖放流、植被恢复、岸线整治，提升水体自净能力与生物多样性；建立禁养区水域生态、水质、资源动态监测体系，定期评估生态状况，保障生态系统稳定健康。</w:t>
      </w:r>
    </w:p>
    <w:p w14:paraId="24428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hint="eastAsia"/>
          <w:lang w:val="en-US" w:eastAsia="zh-CN"/>
        </w:rPr>
      </w:pPr>
      <w:r>
        <w:rPr>
          <w:rFonts w:hint="eastAsia" w:ascii="Times New Roman" w:hAnsi="Times New Roman" w:eastAsia="宋体" w:cs="Times New Roman"/>
          <w:kern w:val="2"/>
          <w:sz w:val="28"/>
          <w:szCs w:val="28"/>
          <w:lang w:val="en-US" w:eastAsia="zh-CN" w:bidi="ar-SA"/>
        </w:rPr>
        <w:t>（5）</w:t>
      </w:r>
      <w:r>
        <w:rPr>
          <w:rFonts w:ascii="Times New Roman" w:hAnsi="Times New Roman" w:eastAsia="宋体" w:cs="Times New Roman"/>
          <w:kern w:val="2"/>
          <w:sz w:val="28"/>
          <w:szCs w:val="28"/>
          <w:lang w:val="en-US" w:eastAsia="zh-CN" w:bidi="ar-SA"/>
        </w:rPr>
        <w:t>健全长效管理机制，强化规划刚性约束将禁养区管控纳入河湖长制、林长制考核，明确责任主体与管控要求；完善信息公示、群众举报、台账管理等制度，确保禁养区划得准、管得住、守得好，为</w:t>
      </w:r>
      <w:r>
        <w:rPr>
          <w:rFonts w:hint="eastAsia" w:cs="Times New Roman"/>
          <w:kern w:val="2"/>
          <w:sz w:val="28"/>
          <w:szCs w:val="28"/>
          <w:lang w:val="en-US" w:eastAsia="zh-CN" w:bidi="ar-SA"/>
        </w:rPr>
        <w:t>友好区</w:t>
      </w:r>
      <w:r>
        <w:rPr>
          <w:rFonts w:ascii="Times New Roman" w:hAnsi="Times New Roman" w:eastAsia="宋体" w:cs="Times New Roman"/>
          <w:kern w:val="2"/>
          <w:sz w:val="28"/>
          <w:szCs w:val="28"/>
          <w:lang w:val="en-US" w:eastAsia="zh-CN" w:bidi="ar-SA"/>
        </w:rPr>
        <w:t>水域生态安全与渔业绿色可持续发展提供空间保障</w:t>
      </w:r>
      <w:r>
        <w:rPr>
          <w:rFonts w:hint="eastAsia" w:ascii="Times New Roman" w:hAnsi="Times New Roman" w:eastAsia="宋体" w:cs="Times New Roman"/>
          <w:kern w:val="2"/>
          <w:sz w:val="28"/>
          <w:szCs w:val="28"/>
          <w:lang w:val="en-US" w:eastAsia="zh-CN" w:bidi="ar-SA"/>
        </w:rPr>
        <w:t>。</w:t>
      </w:r>
    </w:p>
    <w:p w14:paraId="1602A370">
      <w:pPr>
        <w:pStyle w:val="3"/>
        <w:numPr>
          <w:ilvl w:val="0"/>
          <w:numId w:val="0"/>
        </w:numPr>
        <w:ind w:leftChars="200"/>
        <w:jc w:val="both"/>
        <w:rPr>
          <w:b w:val="0"/>
        </w:rPr>
      </w:pPr>
      <w:bookmarkStart w:id="284" w:name="_Toc16963"/>
      <w:bookmarkStart w:id="285" w:name="_Toc26851"/>
      <w:bookmarkStart w:id="286" w:name="_Toc624"/>
      <w:bookmarkStart w:id="287" w:name="_Toc22658"/>
      <w:bookmarkStart w:id="288" w:name="_Toc6308"/>
      <w:bookmarkStart w:id="289" w:name="_Toc24194"/>
      <w:r>
        <w:rPr>
          <w:rFonts w:hint="eastAsia"/>
          <w:lang w:val="en-US" w:eastAsia="zh-CN"/>
        </w:rPr>
        <w:t xml:space="preserve">3.4 </w:t>
      </w:r>
      <w:r>
        <w:t>限制养殖区划定</w:t>
      </w:r>
      <w:bookmarkEnd w:id="278"/>
      <w:bookmarkEnd w:id="282"/>
      <w:bookmarkEnd w:id="283"/>
      <w:bookmarkEnd w:id="284"/>
      <w:bookmarkEnd w:id="285"/>
      <w:bookmarkEnd w:id="286"/>
      <w:bookmarkEnd w:id="287"/>
      <w:bookmarkEnd w:id="288"/>
      <w:bookmarkEnd w:id="289"/>
    </w:p>
    <w:p w14:paraId="1C81F428">
      <w:pPr>
        <w:pStyle w:val="11"/>
        <w:spacing w:line="360" w:lineRule="auto"/>
        <w:ind w:leftChars="0" w:firstLine="560" w:firstLineChars="200"/>
        <w:jc w:val="both"/>
        <w:rPr>
          <w:rFonts w:hint="eastAsia" w:ascii="黑体" w:hAnsi="黑体" w:eastAsia="黑体" w:cs="黑体"/>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开发利用现状结合各类保护区域，</w:t>
      </w:r>
      <w:r>
        <w:rPr>
          <w:rFonts w:hint="eastAsia" w:cs="Times New Roman"/>
          <w:sz w:val="28"/>
          <w:szCs w:val="28"/>
          <w:lang w:eastAsia="zh-CN"/>
        </w:rPr>
        <w:t>友好区</w:t>
      </w:r>
      <w:r>
        <w:rPr>
          <w:rFonts w:ascii="Times New Roman" w:hAnsi="Times New Roman" w:eastAsia="宋体" w:cs="Times New Roman"/>
          <w:sz w:val="28"/>
          <w:szCs w:val="28"/>
        </w:rPr>
        <w:t>养殖水域滩涂限养区类型</w:t>
      </w:r>
      <w:r>
        <w:rPr>
          <w:rFonts w:hint="eastAsia" w:ascii="Times New Roman" w:hAnsi="Times New Roman" w:eastAsia="宋体" w:cs="Times New Roman"/>
          <w:sz w:val="28"/>
          <w:szCs w:val="28"/>
          <w:lang w:val="en-US" w:eastAsia="zh-CN"/>
        </w:rPr>
        <w:t>包括饮用水水源地二级保护区限养区（2-2）和生态保护红线（自然保护地核心保护区外）（2-1），限</w:t>
      </w:r>
      <w:r>
        <w:rPr>
          <w:rFonts w:ascii="Times New Roman" w:hAnsi="Times New Roman" w:eastAsia="宋体" w:cs="Times New Roman"/>
          <w:sz w:val="28"/>
          <w:szCs w:val="28"/>
        </w:rPr>
        <w:t>养区总面积</w:t>
      </w:r>
      <w:r>
        <w:rPr>
          <w:rFonts w:hint="eastAsia" w:ascii="Times New Roman" w:hAnsi="Times New Roman" w:eastAsia="宋体" w:cs="Times New Roman"/>
          <w:sz w:val="28"/>
          <w:szCs w:val="28"/>
          <w:lang w:val="en-US" w:eastAsia="zh-CN"/>
        </w:rPr>
        <w:t>767.2678</w:t>
      </w:r>
      <w:r>
        <w:rPr>
          <w:rFonts w:ascii="Times New Roman" w:hAnsi="Times New Roman" w:eastAsia="宋体" w:cs="Times New Roman"/>
          <w:sz w:val="28"/>
          <w:szCs w:val="28"/>
        </w:rPr>
        <w:t>公顷</w:t>
      </w:r>
      <w:r>
        <w:rPr>
          <w:rFonts w:hint="eastAsia" w:ascii="Times New Roman" w:hAnsi="Times New Roman" w:eastAsia="宋体" w:cs="Times New Roman"/>
          <w:sz w:val="28"/>
          <w:szCs w:val="28"/>
          <w:lang w:eastAsia="zh-CN"/>
        </w:rPr>
        <w:t>。</w:t>
      </w:r>
    </w:p>
    <w:p w14:paraId="068740FF">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14</w:t>
      </w:r>
      <w:r>
        <w:rPr>
          <w:rFonts w:hint="eastAsia" w:ascii="黑体" w:hAnsi="黑体" w:eastAsia="黑体" w:cs="黑体"/>
        </w:rPr>
        <w:t xml:space="preserve"> 限养区类型统计表</w:t>
      </w:r>
    </w:p>
    <w:tbl>
      <w:tblPr>
        <w:tblStyle w:val="21"/>
        <w:tblW w:w="91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9"/>
        <w:gridCol w:w="1650"/>
        <w:gridCol w:w="2774"/>
        <w:gridCol w:w="1359"/>
        <w:gridCol w:w="2365"/>
      </w:tblGrid>
      <w:tr w14:paraId="35F59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8C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69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AB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类型</w:t>
            </w:r>
            <w:r>
              <w:rPr>
                <w:rFonts w:hint="eastAsia" w:ascii="宋体" w:hAnsi="宋体" w:eastAsia="宋体" w:cs="宋体"/>
                <w:i w:val="0"/>
                <w:iCs w:val="0"/>
                <w:color w:val="000000"/>
                <w:kern w:val="0"/>
                <w:sz w:val="22"/>
                <w:szCs w:val="22"/>
                <w:u w:val="none"/>
                <w:lang w:val="en-US" w:eastAsia="zh-CN" w:bidi="ar"/>
              </w:rPr>
              <w:t>名称</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01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c>
          <w:tcPr>
            <w:tcW w:w="2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4D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其中：水域滩涂面积（公顷）</w:t>
            </w:r>
          </w:p>
        </w:tc>
      </w:tr>
      <w:tr w14:paraId="5F23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68BB6">
            <w:pPr>
              <w:jc w:val="center"/>
              <w:rPr>
                <w:rFonts w:hint="eastAsia" w:ascii="宋体" w:hAnsi="宋体" w:eastAsia="宋体" w:cs="宋体"/>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287D2">
            <w:pPr>
              <w:jc w:val="center"/>
              <w:rPr>
                <w:rFonts w:hint="eastAsia" w:ascii="宋体" w:hAnsi="宋体" w:eastAsia="宋体" w:cs="宋体"/>
                <w:i w:val="0"/>
                <w:iCs w:val="0"/>
                <w:color w:val="000000"/>
                <w:sz w:val="22"/>
                <w:szCs w:val="22"/>
                <w:u w:val="none"/>
              </w:rPr>
            </w:pPr>
          </w:p>
        </w:tc>
        <w:tc>
          <w:tcPr>
            <w:tcW w:w="2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AC3A6">
            <w:pPr>
              <w:jc w:val="center"/>
              <w:rPr>
                <w:rFonts w:hint="eastAsia" w:ascii="宋体" w:hAnsi="宋体" w:eastAsia="宋体" w:cs="宋体"/>
                <w:i w:val="0"/>
                <w:iCs w:val="0"/>
                <w:color w:val="000000"/>
                <w:sz w:val="22"/>
                <w:szCs w:val="22"/>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B93A9">
            <w:pPr>
              <w:jc w:val="center"/>
              <w:rPr>
                <w:rFonts w:hint="eastAsia" w:ascii="宋体" w:hAnsi="宋体" w:eastAsia="宋体" w:cs="宋体"/>
                <w:i w:val="0"/>
                <w:iCs w:val="0"/>
                <w:color w:val="000000"/>
                <w:sz w:val="22"/>
                <w:szCs w:val="22"/>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3ACBE">
            <w:pPr>
              <w:jc w:val="center"/>
              <w:rPr>
                <w:rFonts w:hint="eastAsia" w:ascii="宋体" w:hAnsi="宋体" w:eastAsia="宋体" w:cs="宋体"/>
                <w:i w:val="0"/>
                <w:iCs w:val="0"/>
                <w:color w:val="000000"/>
                <w:sz w:val="22"/>
                <w:szCs w:val="22"/>
                <w:u w:val="none"/>
              </w:rPr>
            </w:pPr>
          </w:p>
        </w:tc>
      </w:tr>
      <w:tr w14:paraId="4ACDF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283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60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限养区</w:t>
            </w:r>
          </w:p>
        </w:tc>
        <w:tc>
          <w:tcPr>
            <w:tcW w:w="2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02E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饮用水水源地二级保护区限养区</w:t>
            </w:r>
          </w:p>
          <w:p w14:paraId="0E44D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0487C">
            <w:pPr>
              <w:keepNext w:val="0"/>
              <w:keepLines w:val="0"/>
              <w:widowControl/>
              <w:suppressLineNumbers w:val="0"/>
              <w:jc w:val="center"/>
              <w:textAlignment w:val="center"/>
              <w:rPr>
                <w:rFonts w:hint="eastAsia"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rPr>
              <w:t>15261.7</w:t>
            </w:r>
            <w:r>
              <w:rPr>
                <w:rFonts w:hint="eastAsia" w:cs="Times New Roman"/>
                <w:i w:val="0"/>
                <w:iCs w:val="0"/>
                <w:color w:val="000000"/>
                <w:sz w:val="22"/>
                <w:szCs w:val="22"/>
                <w:u w:val="none"/>
                <w:lang w:val="en-US" w:eastAsia="zh-CN"/>
              </w:rPr>
              <w:t>3</w:t>
            </w:r>
          </w:p>
        </w:tc>
        <w:tc>
          <w:tcPr>
            <w:tcW w:w="2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8C2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212.8193</w:t>
            </w:r>
          </w:p>
        </w:tc>
      </w:tr>
      <w:tr w14:paraId="04DA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6" w:hRule="atLeast"/>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C1A43">
            <w:pPr>
              <w:jc w:val="center"/>
              <w:rPr>
                <w:rFonts w:hint="default" w:ascii="Times New Roman" w:hAnsi="Times New Roman" w:eastAsia="宋体" w:cs="Times New Roman"/>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2D9CD">
            <w:pPr>
              <w:jc w:val="center"/>
              <w:rPr>
                <w:rFonts w:hint="eastAsia" w:ascii="宋体" w:hAnsi="宋体" w:eastAsia="宋体" w:cs="宋体"/>
                <w:i w:val="0"/>
                <w:iCs w:val="0"/>
                <w:color w:val="000000"/>
                <w:sz w:val="22"/>
                <w:szCs w:val="22"/>
                <w:u w:val="none"/>
              </w:rPr>
            </w:pPr>
          </w:p>
        </w:tc>
        <w:tc>
          <w:tcPr>
            <w:tcW w:w="2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C013D">
            <w:pPr>
              <w:jc w:val="center"/>
              <w:rPr>
                <w:rFonts w:hint="eastAsia" w:ascii="宋体" w:hAnsi="宋体" w:eastAsia="宋体" w:cs="宋体"/>
                <w:i w:val="0"/>
                <w:iCs w:val="0"/>
                <w:color w:val="000000"/>
                <w:sz w:val="22"/>
                <w:szCs w:val="22"/>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FBF27">
            <w:pPr>
              <w:jc w:val="center"/>
              <w:rPr>
                <w:rFonts w:hint="default" w:ascii="Times New Roman" w:hAnsi="Times New Roman" w:eastAsia="宋体" w:cs="Times New Roman"/>
                <w:i w:val="0"/>
                <w:iCs w:val="0"/>
                <w:color w:val="000000"/>
                <w:sz w:val="22"/>
                <w:szCs w:val="22"/>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E697">
            <w:pPr>
              <w:jc w:val="center"/>
              <w:rPr>
                <w:rFonts w:hint="default" w:ascii="Times New Roman" w:hAnsi="Times New Roman" w:eastAsia="宋体" w:cs="Times New Roman"/>
                <w:i w:val="0"/>
                <w:iCs w:val="0"/>
                <w:color w:val="000000"/>
                <w:sz w:val="22"/>
                <w:szCs w:val="22"/>
                <w:u w:val="none"/>
              </w:rPr>
            </w:pPr>
          </w:p>
        </w:tc>
      </w:tr>
      <w:tr w14:paraId="4DE3E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3" w:hRule="atLeast"/>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B789A">
            <w:pPr>
              <w:jc w:val="center"/>
              <w:rPr>
                <w:rFonts w:hint="default" w:ascii="Times New Roman" w:hAnsi="Times New Roman" w:eastAsia="宋体" w:cs="Times New Roman"/>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D80CB">
            <w:pPr>
              <w:jc w:val="center"/>
              <w:rPr>
                <w:rFonts w:hint="eastAsia" w:ascii="宋体" w:hAnsi="宋体" w:eastAsia="宋体" w:cs="宋体"/>
                <w:i w:val="0"/>
                <w:iCs w:val="0"/>
                <w:color w:val="000000"/>
                <w:sz w:val="22"/>
                <w:szCs w:val="22"/>
                <w:u w:val="none"/>
              </w:rPr>
            </w:pPr>
          </w:p>
        </w:tc>
        <w:tc>
          <w:tcPr>
            <w:tcW w:w="2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E0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生态保护红线（自然保护地核心保护区外）限养区</w:t>
            </w:r>
          </w:p>
          <w:p w14:paraId="1BEA1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06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77677.6993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0A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554.4485</w:t>
            </w:r>
          </w:p>
        </w:tc>
      </w:tr>
      <w:tr w14:paraId="3E778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1B59">
            <w:pPr>
              <w:jc w:val="center"/>
              <w:rPr>
                <w:rFonts w:hint="default" w:ascii="Times New Roman" w:hAnsi="Times New Roman" w:eastAsia="宋体" w:cs="Times New Roman"/>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A0044">
            <w:pPr>
              <w:jc w:val="center"/>
              <w:rPr>
                <w:rFonts w:hint="eastAsia" w:ascii="宋体" w:hAnsi="宋体" w:eastAsia="宋体" w:cs="宋体"/>
                <w:i w:val="0"/>
                <w:iCs w:val="0"/>
                <w:color w:val="000000"/>
                <w:sz w:val="22"/>
                <w:szCs w:val="22"/>
                <w:u w:val="none"/>
              </w:rPr>
            </w:pPr>
          </w:p>
        </w:tc>
        <w:tc>
          <w:tcPr>
            <w:tcW w:w="2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7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77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96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767.2678</w:t>
            </w:r>
          </w:p>
        </w:tc>
      </w:tr>
    </w:tbl>
    <w:p w14:paraId="6C379A13">
      <w:pPr>
        <w:pStyle w:val="35"/>
        <w:ind w:left="4720" w:leftChars="0" w:hanging="4720" w:firstLineChars="0"/>
        <w:jc w:val="center"/>
        <w:rPr>
          <w:rFonts w:hint="eastAsia" w:ascii="黑体" w:hAnsi="黑体" w:eastAsia="黑体" w:cs="黑体"/>
        </w:rPr>
      </w:pPr>
    </w:p>
    <w:p w14:paraId="2A18AA75">
      <w:pPr>
        <w:pStyle w:val="35"/>
        <w:ind w:left="4720" w:leftChars="0" w:hanging="4720" w:firstLineChars="0"/>
        <w:jc w:val="center"/>
        <w:rPr>
          <w:rFonts w:hint="eastAsia" w:ascii="黑体" w:hAnsi="黑体" w:eastAsia="黑体" w:cs="黑体"/>
        </w:rPr>
      </w:pPr>
    </w:p>
    <w:p w14:paraId="5C929C0F">
      <w:pPr>
        <w:pStyle w:val="35"/>
        <w:ind w:left="4720" w:leftChars="0" w:hanging="4720" w:firstLineChars="0"/>
        <w:jc w:val="center"/>
        <w:rPr>
          <w:rFonts w:hint="eastAsia" w:ascii="黑体" w:hAnsi="黑体" w:eastAsia="黑体" w:cs="黑体"/>
        </w:rPr>
      </w:pPr>
    </w:p>
    <w:p w14:paraId="5A0FB327">
      <w:pPr>
        <w:pStyle w:val="35"/>
        <w:ind w:left="4720" w:leftChars="0" w:hanging="4720" w:firstLineChars="0"/>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15</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lang w:val="en-US" w:eastAsia="zh-CN"/>
        </w:rPr>
        <w:t>各乡镇</w:t>
      </w:r>
      <w:r>
        <w:rPr>
          <w:rFonts w:hint="eastAsia" w:ascii="黑体" w:hAnsi="黑体" w:eastAsia="黑体" w:cs="黑体"/>
        </w:rPr>
        <w:t>养殖水域滩涂</w:t>
      </w:r>
      <w:r>
        <w:rPr>
          <w:rFonts w:hint="eastAsia" w:ascii="黑体" w:hAnsi="黑体" w:eastAsia="黑体" w:cs="黑体"/>
          <w:lang w:val="en-US" w:eastAsia="zh-CN"/>
        </w:rPr>
        <w:t>限养</w:t>
      </w:r>
      <w:r>
        <w:rPr>
          <w:rFonts w:hint="eastAsia" w:ascii="黑体" w:hAnsi="黑体" w:eastAsia="黑体" w:cs="黑体"/>
        </w:rPr>
        <w:t>区</w:t>
      </w:r>
      <w:r>
        <w:rPr>
          <w:rFonts w:hint="eastAsia" w:ascii="黑体" w:hAnsi="黑体" w:eastAsia="黑体" w:cs="黑体"/>
          <w:lang w:val="en-US" w:eastAsia="zh-CN"/>
        </w:rPr>
        <w:t>面积</w:t>
      </w:r>
      <w:r>
        <w:rPr>
          <w:rFonts w:hint="eastAsia" w:ascii="黑体" w:hAnsi="黑体" w:eastAsia="黑体" w:cs="黑体"/>
        </w:rPr>
        <w:t>统计表</w:t>
      </w:r>
    </w:p>
    <w:tbl>
      <w:tblPr>
        <w:tblStyle w:val="21"/>
        <w:tblW w:w="92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27"/>
        <w:gridCol w:w="1462"/>
        <w:gridCol w:w="1462"/>
        <w:gridCol w:w="1462"/>
        <w:gridCol w:w="1462"/>
        <w:gridCol w:w="1462"/>
      </w:tblGrid>
      <w:tr w14:paraId="70AE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9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E99C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行政区名称</w:t>
            </w:r>
          </w:p>
        </w:tc>
        <w:tc>
          <w:tcPr>
            <w:tcW w:w="14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843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河流水面</w:t>
            </w:r>
          </w:p>
        </w:tc>
        <w:tc>
          <w:tcPr>
            <w:tcW w:w="14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AB6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坑塘水面</w:t>
            </w:r>
          </w:p>
        </w:tc>
        <w:tc>
          <w:tcPr>
            <w:tcW w:w="14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37E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养殖坑塘</w:t>
            </w:r>
          </w:p>
        </w:tc>
        <w:tc>
          <w:tcPr>
            <w:tcW w:w="14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C08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内陆滩涂</w:t>
            </w:r>
          </w:p>
        </w:tc>
        <w:tc>
          <w:tcPr>
            <w:tcW w:w="14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D5A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r>
      <w:tr w14:paraId="1067D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00E4BD">
            <w:pPr>
              <w:jc w:val="center"/>
              <w:rPr>
                <w:rFonts w:hint="eastAsia" w:ascii="宋体" w:hAnsi="宋体" w:eastAsia="宋体" w:cs="宋体"/>
                <w:i w:val="0"/>
                <w:iCs w:val="0"/>
                <w:color w:val="000000"/>
                <w:sz w:val="20"/>
                <w:szCs w:val="20"/>
                <w:u w:val="none"/>
              </w:rPr>
            </w:pP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71005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508D4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7DC2B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68BF1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1A534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面积（公顷）</w:t>
            </w:r>
          </w:p>
        </w:tc>
      </w:tr>
      <w:tr w14:paraId="3380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927" w:type="dxa"/>
            <w:tcBorders>
              <w:top w:val="nil"/>
              <w:left w:val="single" w:color="000000" w:sz="8" w:space="0"/>
              <w:bottom w:val="single" w:color="000000" w:sz="8" w:space="0"/>
              <w:right w:val="single" w:color="000000" w:sz="8" w:space="0"/>
            </w:tcBorders>
            <w:shd w:val="clear" w:color="auto" w:fill="auto"/>
            <w:vAlign w:val="center"/>
          </w:tcPr>
          <w:p w14:paraId="074E52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上甘岭镇</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54A2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76.2781</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1F184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11.5586</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00E8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5D733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0.0023</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21822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87.839</w:t>
            </w:r>
          </w:p>
        </w:tc>
      </w:tr>
      <w:tr w14:paraId="6771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927" w:type="dxa"/>
            <w:tcBorders>
              <w:top w:val="nil"/>
              <w:left w:val="single" w:color="000000" w:sz="8" w:space="0"/>
              <w:bottom w:val="single" w:color="000000" w:sz="8" w:space="0"/>
              <w:right w:val="single" w:color="000000" w:sz="8" w:space="0"/>
            </w:tcBorders>
            <w:shd w:val="clear" w:color="auto" w:fill="auto"/>
            <w:vAlign w:val="center"/>
          </w:tcPr>
          <w:p w14:paraId="427E7F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双子河街道</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A534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1.1019</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350D4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3.9004</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EA90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228B6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29747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5.0023</w:t>
            </w:r>
          </w:p>
        </w:tc>
      </w:tr>
      <w:tr w14:paraId="71635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927" w:type="dxa"/>
            <w:tcBorders>
              <w:top w:val="nil"/>
              <w:left w:val="single" w:color="000000" w:sz="8" w:space="0"/>
              <w:bottom w:val="single" w:color="000000" w:sz="8" w:space="0"/>
              <w:right w:val="single" w:color="000000" w:sz="8" w:space="0"/>
            </w:tcBorders>
            <w:shd w:val="clear" w:color="auto" w:fill="auto"/>
            <w:vAlign w:val="center"/>
          </w:tcPr>
          <w:p w14:paraId="3A157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铁林街道</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30D25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5F555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5.4553</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16290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0.9587</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6AD9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15861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6.414</w:t>
            </w:r>
          </w:p>
        </w:tc>
      </w:tr>
      <w:tr w14:paraId="5C09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927" w:type="dxa"/>
            <w:tcBorders>
              <w:top w:val="nil"/>
              <w:left w:val="single" w:color="000000" w:sz="8" w:space="0"/>
              <w:bottom w:val="single" w:color="000000" w:sz="8" w:space="0"/>
              <w:right w:val="single" w:color="000000" w:sz="8" w:space="0"/>
            </w:tcBorders>
            <w:shd w:val="clear" w:color="auto" w:fill="auto"/>
            <w:vAlign w:val="center"/>
          </w:tcPr>
          <w:p w14:paraId="657CB3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友好街道</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3A457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533.6731</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37268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32.0638</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7946A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3B473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102.2756</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65316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668.0125</w:t>
            </w:r>
          </w:p>
        </w:tc>
      </w:tr>
      <w:tr w14:paraId="4287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927" w:type="dxa"/>
            <w:tcBorders>
              <w:top w:val="nil"/>
              <w:left w:val="single" w:color="000000" w:sz="8" w:space="0"/>
              <w:bottom w:val="single" w:color="000000" w:sz="8" w:space="0"/>
              <w:right w:val="single" w:color="000000" w:sz="8" w:space="0"/>
            </w:tcBorders>
            <w:shd w:val="clear" w:color="auto" w:fill="auto"/>
            <w:vAlign w:val="center"/>
          </w:tcPr>
          <w:p w14:paraId="66803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松花江分局绥棱林业局</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2C8AE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649BA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24580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78EC6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5F03B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r>
      <w:tr w14:paraId="1A6D5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1927" w:type="dxa"/>
            <w:tcBorders>
              <w:top w:val="nil"/>
              <w:left w:val="single" w:color="000000" w:sz="8" w:space="0"/>
              <w:bottom w:val="single" w:color="000000" w:sz="8" w:space="0"/>
              <w:right w:val="single" w:color="000000" w:sz="8" w:space="0"/>
            </w:tcBorders>
            <w:shd w:val="clear" w:color="auto" w:fill="auto"/>
            <w:vAlign w:val="center"/>
          </w:tcPr>
          <w:p w14:paraId="62E22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15721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611.0531</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0EA8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52.9781</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05137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0.9587</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388CB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102.2779</w:t>
            </w:r>
          </w:p>
        </w:tc>
        <w:tc>
          <w:tcPr>
            <w:tcW w:w="1462" w:type="dxa"/>
            <w:tcBorders>
              <w:top w:val="nil"/>
              <w:left w:val="single" w:color="000000" w:sz="8" w:space="0"/>
              <w:bottom w:val="single" w:color="000000" w:sz="8" w:space="0"/>
              <w:right w:val="single" w:color="000000" w:sz="8" w:space="0"/>
            </w:tcBorders>
            <w:shd w:val="clear" w:color="auto" w:fill="auto"/>
            <w:vAlign w:val="center"/>
          </w:tcPr>
          <w:p w14:paraId="15A413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767.2678</w:t>
            </w:r>
          </w:p>
        </w:tc>
      </w:tr>
    </w:tbl>
    <w:p w14:paraId="2811344F">
      <w:pPr>
        <w:pStyle w:val="35"/>
        <w:jc w:val="both"/>
      </w:pPr>
    </w:p>
    <w:p w14:paraId="1F1C4B0C">
      <w:pPr>
        <w:pStyle w:val="4"/>
        <w:numPr>
          <w:ilvl w:val="0"/>
          <w:numId w:val="0"/>
        </w:numPr>
        <w:ind w:leftChars="200"/>
        <w:jc w:val="both"/>
        <w:rPr>
          <w:b w:val="0"/>
        </w:rPr>
      </w:pPr>
      <w:bookmarkStart w:id="290" w:name="_Toc21997"/>
      <w:bookmarkStart w:id="291" w:name="_Toc3679"/>
      <w:bookmarkStart w:id="292" w:name="_Toc18087"/>
      <w:bookmarkStart w:id="293" w:name="_Toc7860"/>
      <w:r>
        <w:rPr>
          <w:rFonts w:hint="eastAsia"/>
          <w:lang w:val="en-US" w:eastAsia="zh-CN"/>
        </w:rPr>
        <w:t>3.4.1</w:t>
      </w:r>
      <w:r>
        <w:t>生态保护红线（自然保护地核心保护区外）</w:t>
      </w:r>
      <w:bookmarkEnd w:id="290"/>
      <w:r>
        <w:rPr>
          <w:rFonts w:hint="eastAsia"/>
          <w:lang w:val="en-US" w:eastAsia="zh-CN"/>
        </w:rPr>
        <w:t>限养区</w:t>
      </w:r>
      <w:bookmarkEnd w:id="291"/>
      <w:bookmarkEnd w:id="292"/>
      <w:bookmarkEnd w:id="293"/>
      <w:r>
        <w:t xml:space="preserve"> </w:t>
      </w:r>
    </w:p>
    <w:p w14:paraId="0BAD0D59">
      <w:pPr>
        <w:pStyle w:val="5"/>
        <w:ind w:left="0" w:leftChars="0" w:firstLine="560" w:firstLineChars="200"/>
        <w:jc w:val="both"/>
      </w:pPr>
      <w:r>
        <w:t>3.</w:t>
      </w:r>
      <w:r>
        <w:rPr>
          <w:rFonts w:hint="eastAsia"/>
          <w:lang w:val="en-US" w:eastAsia="zh-CN"/>
        </w:rPr>
        <w:t>4</w:t>
      </w:r>
      <w:r>
        <w:t>.1.1 生态保护红线内自然保护地一般控制区限养区</w:t>
      </w:r>
    </w:p>
    <w:p w14:paraId="7D1E5B84">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生态保护红线（自然保护地核心保护区外）包括生态保护红线内自然保护地一般控制区和自然保护地外生态保护红线。</w:t>
      </w:r>
    </w:p>
    <w:p w14:paraId="49FF0237">
      <w:pPr>
        <w:pStyle w:val="6"/>
        <w:numPr>
          <w:ilvl w:val="0"/>
          <w:numId w:val="30"/>
        </w:numPr>
        <w:topLinePunct w:val="0"/>
        <w:ind w:left="0" w:leftChars="0" w:firstLine="560" w:firstLineChars="200"/>
        <w:jc w:val="both"/>
        <w:rPr>
          <w:rFonts w:hint="eastAsia" w:ascii="黑体" w:hAnsi="黑体" w:eastAsia="黑体" w:cs="黑体"/>
          <w:b w:val="0"/>
        </w:rPr>
      </w:pPr>
      <w:r>
        <w:t>生态保护红线内自然保护地一般控制区</w:t>
      </w:r>
    </w:p>
    <w:p w14:paraId="22026995">
      <w:pPr>
        <w:pStyle w:val="11"/>
        <w:spacing w:line="360" w:lineRule="auto"/>
        <w:ind w:leftChars="0" w:firstLine="560" w:firstLineChars="200"/>
        <w:jc w:val="both"/>
        <w:rPr>
          <w:rFonts w:hint="eastAsia" w:cs="Times New Roman"/>
          <w:sz w:val="28"/>
          <w:szCs w:val="28"/>
          <w:lang w:eastAsia="zh-CN"/>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生态保护红线可知，自然保护地一般控制区</w:t>
      </w:r>
      <w:r>
        <w:rPr>
          <w:rFonts w:hint="eastAsia" w:cs="Times New Roman"/>
          <w:sz w:val="28"/>
          <w:szCs w:val="28"/>
          <w:lang w:val="en-US" w:eastAsia="zh-CN"/>
        </w:rPr>
        <w:t>2071.1548</w:t>
      </w:r>
      <w:r>
        <w:rPr>
          <w:rFonts w:ascii="Times New Roman" w:hAnsi="Times New Roman" w:eastAsia="宋体" w:cs="Times New Roman"/>
          <w:sz w:val="28"/>
          <w:szCs w:val="28"/>
        </w:rPr>
        <w:t>公顷。</w:t>
      </w:r>
      <w:r>
        <w:rPr>
          <w:rFonts w:hint="eastAsia" w:cs="Times New Roman"/>
          <w:sz w:val="28"/>
          <w:szCs w:val="28"/>
          <w:lang w:val="en-US" w:eastAsia="zh-CN"/>
        </w:rPr>
        <w:t>自然保护地一般控制区</w:t>
      </w:r>
      <w:r>
        <w:rPr>
          <w:rFonts w:ascii="Times New Roman" w:hAnsi="Times New Roman" w:eastAsia="宋体" w:cs="Times New Roman"/>
          <w:sz w:val="28"/>
          <w:szCs w:val="28"/>
        </w:rPr>
        <w:t>包括</w:t>
      </w:r>
      <w:r>
        <w:rPr>
          <w:rFonts w:hint="eastAsia" w:cs="Times New Roman"/>
          <w:sz w:val="28"/>
          <w:szCs w:val="28"/>
          <w:lang w:eastAsia="zh-CN"/>
        </w:rPr>
        <w:t>黑龙江伊春友好省级森林公园、黑龙江伊春五营省级地质公园。</w:t>
      </w:r>
    </w:p>
    <w:p w14:paraId="6050BC29">
      <w:pPr>
        <w:pStyle w:val="11"/>
        <w:spacing w:line="360" w:lineRule="auto"/>
        <w:ind w:leftChars="0" w:firstLine="560" w:firstLineChars="200"/>
        <w:jc w:val="both"/>
        <w:rPr>
          <w:rFonts w:hint="eastAsia" w:cs="Times New Roman"/>
          <w:sz w:val="28"/>
          <w:szCs w:val="28"/>
          <w:lang w:eastAsia="zh-CN"/>
        </w:rPr>
      </w:pPr>
    </w:p>
    <w:p w14:paraId="0F3D39A8">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16</w:t>
      </w:r>
      <w:r>
        <w:rPr>
          <w:rFonts w:hint="eastAsia" w:ascii="黑体" w:hAnsi="黑体" w:eastAsia="黑体" w:cs="黑体"/>
        </w:rPr>
        <w:t xml:space="preserve"> </w:t>
      </w:r>
      <w:r>
        <w:rPr>
          <w:rFonts w:hint="eastAsia" w:ascii="黑体" w:hAnsi="黑体" w:eastAsia="黑体" w:cs="黑体"/>
          <w:lang w:val="en-US" w:eastAsia="zh-CN"/>
        </w:rPr>
        <w:t>友好区</w:t>
      </w:r>
      <w:r>
        <w:rPr>
          <w:rFonts w:hint="eastAsia" w:ascii="黑体" w:hAnsi="黑体" w:eastAsia="黑体" w:cs="黑体"/>
        </w:rPr>
        <w:t>生态保护红线内自然保护地一般控制区</w:t>
      </w:r>
      <w:r>
        <w:rPr>
          <w:rFonts w:hint="eastAsia" w:ascii="黑体" w:hAnsi="黑体" w:eastAsia="黑体" w:cs="黑体"/>
          <w:lang w:val="en-US" w:eastAsia="zh-CN"/>
        </w:rPr>
        <w:t>面积</w:t>
      </w:r>
      <w:r>
        <w:rPr>
          <w:rFonts w:hint="eastAsia" w:ascii="黑体" w:hAnsi="黑体" w:eastAsia="黑体" w:cs="黑体"/>
        </w:rPr>
        <w:t>统计表</w:t>
      </w:r>
    </w:p>
    <w:tbl>
      <w:tblPr>
        <w:tblStyle w:val="21"/>
        <w:tblW w:w="877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7"/>
        <w:gridCol w:w="3203"/>
        <w:gridCol w:w="1647"/>
        <w:gridCol w:w="2141"/>
      </w:tblGrid>
      <w:tr w14:paraId="4DCA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6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自然保护地类型</w:t>
            </w: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D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自然保护地名称</w:t>
            </w:r>
          </w:p>
        </w:tc>
        <w:tc>
          <w:tcPr>
            <w:tcW w:w="1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D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分区</w:t>
            </w: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B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r>
      <w:tr w14:paraId="3D21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80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森林公园</w:t>
            </w:r>
          </w:p>
        </w:tc>
        <w:tc>
          <w:tcPr>
            <w:tcW w:w="3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05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黑龙江伊春友好省级森林公园</w:t>
            </w:r>
          </w:p>
        </w:tc>
        <w:tc>
          <w:tcPr>
            <w:tcW w:w="1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FA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w:t>
            </w:r>
          </w:p>
        </w:tc>
        <w:tc>
          <w:tcPr>
            <w:tcW w:w="2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2E8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2070.5370</w:t>
            </w:r>
          </w:p>
        </w:tc>
      </w:tr>
      <w:tr w14:paraId="4239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1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3FB89">
            <w:pPr>
              <w:jc w:val="center"/>
              <w:rPr>
                <w:rFonts w:hint="eastAsia" w:ascii="宋体" w:hAnsi="宋体" w:eastAsia="宋体" w:cs="宋体"/>
                <w:i w:val="0"/>
                <w:iCs w:val="0"/>
                <w:color w:val="000000"/>
                <w:sz w:val="22"/>
                <w:szCs w:val="22"/>
                <w:u w:val="none"/>
              </w:rPr>
            </w:pPr>
          </w:p>
        </w:tc>
        <w:tc>
          <w:tcPr>
            <w:tcW w:w="3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308B9">
            <w:pPr>
              <w:jc w:val="center"/>
              <w:rPr>
                <w:rFonts w:hint="eastAsia" w:ascii="宋体" w:hAnsi="宋体" w:eastAsia="宋体" w:cs="宋体"/>
                <w:i w:val="0"/>
                <w:iCs w:val="0"/>
                <w:color w:val="000000"/>
                <w:sz w:val="22"/>
                <w:szCs w:val="22"/>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1F54C">
            <w:pPr>
              <w:jc w:val="center"/>
              <w:rPr>
                <w:rFonts w:hint="eastAsia" w:ascii="宋体" w:hAnsi="宋体" w:eastAsia="宋体" w:cs="宋体"/>
                <w:i w:val="0"/>
                <w:iCs w:val="0"/>
                <w:color w:val="000000"/>
                <w:sz w:val="22"/>
                <w:szCs w:val="22"/>
                <w:u w:val="none"/>
              </w:rPr>
            </w:pPr>
          </w:p>
        </w:tc>
        <w:tc>
          <w:tcPr>
            <w:tcW w:w="2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AB813">
            <w:pPr>
              <w:jc w:val="center"/>
              <w:rPr>
                <w:rFonts w:hint="default" w:ascii="Times New Roman" w:hAnsi="Times New Roman" w:eastAsia="宋体" w:cs="Times New Roman"/>
                <w:i w:val="0"/>
                <w:iCs w:val="0"/>
                <w:color w:val="000000"/>
                <w:sz w:val="22"/>
                <w:szCs w:val="22"/>
                <w:u w:val="none"/>
              </w:rPr>
            </w:pPr>
          </w:p>
        </w:tc>
      </w:tr>
      <w:tr w14:paraId="1470E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5D895">
            <w:pPr>
              <w:jc w:val="center"/>
              <w:rPr>
                <w:rFonts w:hint="eastAsia" w:ascii="宋体" w:hAnsi="宋体" w:eastAsia="宋体" w:cs="宋体"/>
                <w:i w:val="0"/>
                <w:iCs w:val="0"/>
                <w:color w:val="000000"/>
                <w:sz w:val="22"/>
                <w:szCs w:val="22"/>
                <w:u w:val="none"/>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8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黑龙江伊春五营省级地质公园</w:t>
            </w:r>
          </w:p>
        </w:tc>
        <w:tc>
          <w:tcPr>
            <w:tcW w:w="1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1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w:t>
            </w: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CC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cs="Times New Roman"/>
                <w:i w:val="0"/>
                <w:iCs w:val="0"/>
                <w:color w:val="000000"/>
                <w:sz w:val="22"/>
                <w:szCs w:val="22"/>
                <w:u w:val="none"/>
                <w:lang w:val="en-US" w:eastAsia="zh-CN"/>
              </w:rPr>
              <w:t>0.6178</w:t>
            </w:r>
          </w:p>
        </w:tc>
      </w:tr>
      <w:tr w14:paraId="31C8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9B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BA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2071.1548</w:t>
            </w:r>
          </w:p>
        </w:tc>
      </w:tr>
    </w:tbl>
    <w:p w14:paraId="553F6C6C">
      <w:pPr>
        <w:pStyle w:val="11"/>
        <w:ind w:leftChars="0" w:firstLine="560" w:firstLineChars="200"/>
        <w:jc w:val="both"/>
        <w:rPr>
          <w:rFonts w:hint="eastAsia" w:ascii="Times New Roman" w:hAnsi="Times New Roman" w:eastAsia="宋体" w:cs="Times New Roman"/>
          <w:color w:val="auto"/>
          <w:sz w:val="28"/>
          <w:szCs w:val="28"/>
          <w:lang w:eastAsia="zh-CN"/>
        </w:rPr>
      </w:pPr>
      <w:r>
        <w:rPr>
          <w:rFonts w:ascii="Times New Roman" w:hAnsi="Times New Roman" w:eastAsia="宋体" w:cs="Times New Roman"/>
          <w:color w:val="auto"/>
          <w:sz w:val="28"/>
          <w:szCs w:val="28"/>
        </w:rPr>
        <w:t>自然保护地</w:t>
      </w:r>
      <w:r>
        <w:rPr>
          <w:rFonts w:hint="eastAsia" w:cs="Times New Roman"/>
          <w:color w:val="auto"/>
          <w:sz w:val="28"/>
          <w:szCs w:val="28"/>
          <w:lang w:val="en-US" w:eastAsia="zh-CN"/>
        </w:rPr>
        <w:t>一般控制</w:t>
      </w:r>
      <w:r>
        <w:rPr>
          <w:rFonts w:ascii="Times New Roman" w:hAnsi="Times New Roman" w:eastAsia="宋体" w:cs="Times New Roman"/>
          <w:color w:val="auto"/>
          <w:sz w:val="28"/>
          <w:szCs w:val="28"/>
        </w:rPr>
        <w:t>区按类型分</w:t>
      </w:r>
      <w:r>
        <w:rPr>
          <w:rFonts w:hint="eastAsia" w:ascii="Times New Roman" w:hAnsi="Times New Roman" w:eastAsia="宋体" w:cs="Times New Roman"/>
          <w:color w:val="auto"/>
          <w:sz w:val="28"/>
          <w:szCs w:val="28"/>
          <w:lang w:val="en-US" w:eastAsia="zh-CN"/>
        </w:rPr>
        <w:t>为</w:t>
      </w:r>
      <w:r>
        <w:rPr>
          <w:rFonts w:ascii="Times New Roman" w:hAnsi="Times New Roman" w:eastAsia="宋体" w:cs="Times New Roman"/>
          <w:color w:val="auto"/>
          <w:sz w:val="28"/>
          <w:szCs w:val="28"/>
        </w:rPr>
        <w:t>水土保持</w:t>
      </w:r>
      <w:r>
        <w:rPr>
          <w:rFonts w:hint="eastAsia" w:ascii="Times New Roman" w:hAnsi="Times New Roman" w:eastAsia="宋体" w:cs="Times New Roman"/>
          <w:color w:val="auto"/>
          <w:sz w:val="28"/>
          <w:szCs w:val="28"/>
        </w:rPr>
        <w:t>一般控制区</w:t>
      </w:r>
      <w:r>
        <w:rPr>
          <w:rFonts w:ascii="Times New Roman" w:hAnsi="Times New Roman" w:eastAsia="宋体" w:cs="Times New Roman"/>
          <w:color w:val="auto"/>
          <w:sz w:val="28"/>
          <w:szCs w:val="28"/>
        </w:rPr>
        <w:t>、生物多样性维护</w:t>
      </w:r>
      <w:r>
        <w:rPr>
          <w:rFonts w:hint="eastAsia" w:ascii="Times New Roman" w:hAnsi="Times New Roman" w:eastAsia="宋体" w:cs="Times New Roman"/>
          <w:color w:val="auto"/>
          <w:sz w:val="28"/>
          <w:szCs w:val="28"/>
        </w:rPr>
        <w:t>一般控制区</w:t>
      </w:r>
      <w:r>
        <w:rPr>
          <w:rFonts w:hint="eastAsia" w:ascii="Times New Roman" w:hAnsi="Times New Roman" w:eastAsia="宋体" w:cs="Times New Roman"/>
          <w:color w:val="auto"/>
          <w:sz w:val="28"/>
          <w:szCs w:val="28"/>
          <w:lang w:eastAsia="zh-CN"/>
        </w:rPr>
        <w:t>。</w:t>
      </w:r>
    </w:p>
    <w:p w14:paraId="0F811838">
      <w:pPr>
        <w:pStyle w:val="6"/>
        <w:numPr>
          <w:ilvl w:val="0"/>
          <w:numId w:val="0"/>
        </w:numPr>
        <w:topLinePunct w:val="0"/>
        <w:ind w:leftChars="200"/>
        <w:jc w:val="both"/>
        <w:rPr>
          <w:rFonts w:hint="eastAsia" w:ascii="黑体" w:hAnsi="黑体" w:eastAsia="黑体" w:cs="黑体"/>
          <w:b w:val="0"/>
        </w:rPr>
      </w:pPr>
      <w:r>
        <w:rPr>
          <w:rFonts w:hint="eastAsia"/>
          <w:lang w:eastAsia="zh-CN"/>
        </w:rPr>
        <w:t>（</w:t>
      </w:r>
      <w:r>
        <w:rPr>
          <w:rFonts w:hint="eastAsia"/>
          <w:lang w:val="en-US" w:eastAsia="zh-CN"/>
        </w:rPr>
        <w:t>1</w:t>
      </w:r>
      <w:r>
        <w:rPr>
          <w:rFonts w:hint="eastAsia"/>
          <w:lang w:eastAsia="zh-CN"/>
        </w:rPr>
        <w:t>）</w:t>
      </w:r>
      <w:r>
        <w:t>水土保持</w:t>
      </w:r>
      <w:r>
        <w:rPr>
          <w:rFonts w:hint="eastAsia" w:ascii="黑体" w:hAnsi="黑体" w:eastAsia="黑体" w:cs="黑体"/>
        </w:rPr>
        <w:t>一般控制区</w:t>
      </w:r>
    </w:p>
    <w:p w14:paraId="3AD405E2">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水土保持区结合县域自然特征划定，通过政策管控、工程治理与生态修复手段，预防和治理水土流失的功能性区域，其内涵聚焦“针对性保护 ”与“系统性治理 ”的结合。核心是构建“预防—治理—修复 ”三位一体的水土保持体系，同时协调农业生产与生态保护，避免土壤流失与河道淤积。根据</w:t>
      </w:r>
      <w:r>
        <w:rPr>
          <w:rFonts w:hint="eastAsia" w:cs="Times New Roman"/>
          <w:sz w:val="28"/>
          <w:szCs w:val="28"/>
          <w:lang w:eastAsia="zh-CN"/>
        </w:rPr>
        <w:t>友好区</w:t>
      </w:r>
      <w:r>
        <w:rPr>
          <w:rFonts w:ascii="Times New Roman" w:hAnsi="Times New Roman" w:eastAsia="宋体" w:cs="Times New Roman"/>
          <w:sz w:val="28"/>
          <w:szCs w:val="28"/>
        </w:rPr>
        <w:t>生态保护红线可知，水土保持</w:t>
      </w:r>
      <w:r>
        <w:rPr>
          <w:rFonts w:hint="eastAsia" w:ascii="Times New Roman" w:hAnsi="Times New Roman" w:eastAsia="宋体" w:cs="Times New Roman"/>
          <w:sz w:val="28"/>
          <w:szCs w:val="28"/>
        </w:rPr>
        <w:t>一般控制区</w:t>
      </w:r>
      <w:r>
        <w:rPr>
          <w:rFonts w:ascii="Times New Roman" w:hAnsi="Times New Roman" w:eastAsia="宋体" w:cs="Times New Roman"/>
          <w:sz w:val="28"/>
          <w:szCs w:val="28"/>
        </w:rPr>
        <w:t>面积</w:t>
      </w:r>
      <w:r>
        <w:rPr>
          <w:rFonts w:hint="eastAsia" w:cs="Times New Roman"/>
          <w:sz w:val="28"/>
          <w:szCs w:val="28"/>
          <w:lang w:val="en-US" w:eastAsia="zh-CN"/>
        </w:rPr>
        <w:t>0.6178</w:t>
      </w:r>
      <w:r>
        <w:rPr>
          <w:rFonts w:ascii="Times New Roman" w:hAnsi="Times New Roman" w:eastAsia="宋体" w:cs="Times New Roman"/>
          <w:sz w:val="28"/>
          <w:szCs w:val="28"/>
        </w:rPr>
        <w:t>公顷。</w:t>
      </w:r>
    </w:p>
    <w:p w14:paraId="76BC122E">
      <w:pPr>
        <w:pStyle w:val="6"/>
        <w:numPr>
          <w:ilvl w:val="0"/>
          <w:numId w:val="0"/>
        </w:numPr>
        <w:topLinePunct w:val="0"/>
        <w:ind w:leftChars="200"/>
        <w:jc w:val="both"/>
        <w:rPr>
          <w:rFonts w:hint="eastAsia" w:ascii="黑体" w:hAnsi="黑体" w:eastAsia="黑体" w:cs="黑体"/>
          <w:b w:val="0"/>
        </w:rPr>
      </w:pPr>
      <w:r>
        <w:rPr>
          <w:rFonts w:hint="eastAsia"/>
          <w:lang w:eastAsia="zh-CN"/>
        </w:rPr>
        <w:t>（</w:t>
      </w:r>
      <w:r>
        <w:rPr>
          <w:rFonts w:hint="eastAsia"/>
          <w:lang w:val="en-US" w:eastAsia="zh-CN"/>
        </w:rPr>
        <w:t>2</w:t>
      </w:r>
      <w:r>
        <w:rPr>
          <w:rFonts w:hint="eastAsia"/>
          <w:lang w:eastAsia="zh-CN"/>
        </w:rPr>
        <w:t>）</w:t>
      </w:r>
      <w:r>
        <w:t>生物多样性维护核心保护区</w:t>
      </w:r>
    </w:p>
    <w:p w14:paraId="13331F9C">
      <w:pPr>
        <w:pStyle w:val="11"/>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生态保护红线可知，生物多样性维护核心区面积</w:t>
      </w:r>
      <w:r>
        <w:rPr>
          <w:rFonts w:hint="eastAsia" w:cs="Times New Roman"/>
          <w:sz w:val="28"/>
          <w:szCs w:val="28"/>
          <w:lang w:val="en-US" w:eastAsia="zh-CN"/>
        </w:rPr>
        <w:t>2070.5370</w:t>
      </w:r>
      <w:r>
        <w:rPr>
          <w:rFonts w:ascii="Times New Roman" w:hAnsi="Times New Roman" w:eastAsia="宋体" w:cs="Times New Roman"/>
          <w:sz w:val="28"/>
          <w:szCs w:val="28"/>
        </w:rPr>
        <w:t>公顷。</w:t>
      </w:r>
    </w:p>
    <w:p w14:paraId="3F9E94CB">
      <w:pPr>
        <w:pStyle w:val="11"/>
        <w:ind w:leftChars="0" w:firstLine="464" w:firstLineChars="200"/>
        <w:jc w:val="center"/>
        <w:rPr>
          <w:rFonts w:hint="eastAsia" w:ascii="黑体" w:hAnsi="黑体" w:eastAsia="黑体" w:cs="黑体"/>
          <w:spacing w:val="-4"/>
          <w:kern w:val="2"/>
          <w:sz w:val="24"/>
          <w:szCs w:val="24"/>
          <w:lang w:val="en-US" w:eastAsia="zh-CN" w:bidi="ar-SA"/>
        </w:rPr>
      </w:pPr>
      <w:r>
        <w:rPr>
          <w:rFonts w:hint="eastAsia" w:ascii="黑体" w:hAnsi="黑体" w:eastAsia="黑体" w:cs="黑体"/>
          <w:spacing w:val="-4"/>
          <w:kern w:val="2"/>
          <w:sz w:val="24"/>
          <w:szCs w:val="24"/>
          <w:lang w:val="en-US" w:eastAsia="zh-CN" w:bidi="ar-SA"/>
        </w:rPr>
        <w:t>表3-7 友好区生态保护红线类型核心保护区面积统计表</w:t>
      </w:r>
    </w:p>
    <w:tbl>
      <w:tblPr>
        <w:tblStyle w:val="21"/>
        <w:tblW w:w="7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40"/>
        <w:gridCol w:w="2644"/>
        <w:gridCol w:w="2554"/>
      </w:tblGrid>
      <w:tr w14:paraId="4ABB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3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生态保护红线类型</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A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6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面积（公顷）</w:t>
            </w:r>
          </w:p>
        </w:tc>
      </w:tr>
      <w:tr w14:paraId="0912E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5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水土保持</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9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核心保护区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A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0.6178</w:t>
            </w:r>
          </w:p>
        </w:tc>
      </w:tr>
      <w:tr w14:paraId="30066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jc w:val="center"/>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A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生物多样性维护</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E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核心保护区</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729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sz w:val="22"/>
                <w:szCs w:val="22"/>
                <w:u w:val="none"/>
                <w:lang w:val="en-US" w:eastAsia="zh-CN"/>
              </w:rPr>
              <w:t>2070.5370</w:t>
            </w:r>
          </w:p>
        </w:tc>
      </w:tr>
      <w:tr w14:paraId="5D66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jc w:val="center"/>
        </w:trPr>
        <w:tc>
          <w:tcPr>
            <w:tcW w:w="51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7E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0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eastAsia="zh-CN"/>
              </w:rPr>
              <w:t>2071.1548</w:t>
            </w:r>
          </w:p>
        </w:tc>
      </w:tr>
    </w:tbl>
    <w:p w14:paraId="40730056">
      <w:pPr>
        <w:pStyle w:val="6"/>
        <w:numPr>
          <w:ilvl w:val="0"/>
          <w:numId w:val="30"/>
        </w:numPr>
        <w:topLinePunct w:val="0"/>
        <w:ind w:left="0" w:leftChars="0" w:firstLine="560" w:firstLineChars="200"/>
        <w:jc w:val="both"/>
        <w:rPr>
          <w:b w:val="0"/>
        </w:rPr>
      </w:pPr>
      <w:r>
        <w:t>自然保护地外生态保护红线</w:t>
      </w:r>
    </w:p>
    <w:p w14:paraId="004897D7">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生态保护红线可知，自然保护地外生态保护红线类型包括生物多样性维护、水源涵养、水土保持，自然保护地外生态保护红线面积</w:t>
      </w:r>
      <w:r>
        <w:rPr>
          <w:rFonts w:hint="eastAsia" w:ascii="Times New Roman" w:hAnsi="Times New Roman" w:eastAsia="宋体" w:cs="Times New Roman"/>
          <w:sz w:val="28"/>
          <w:szCs w:val="28"/>
          <w:lang w:val="en-US" w:eastAsia="zh-CN"/>
        </w:rPr>
        <w:t>75606.5446</w:t>
      </w:r>
      <w:r>
        <w:rPr>
          <w:rFonts w:ascii="Times New Roman" w:hAnsi="Times New Roman" w:eastAsia="宋体" w:cs="Times New Roman"/>
          <w:sz w:val="28"/>
          <w:szCs w:val="28"/>
        </w:rPr>
        <w:t>公顷。</w:t>
      </w:r>
    </w:p>
    <w:p w14:paraId="5E09E87B">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17</w:t>
      </w:r>
      <w:r>
        <w:rPr>
          <w:rFonts w:hint="eastAsia" w:ascii="黑体" w:hAnsi="黑体" w:eastAsia="黑体" w:cs="黑体"/>
        </w:rPr>
        <w:t xml:space="preserve">  </w:t>
      </w:r>
      <w:r>
        <w:rPr>
          <w:rFonts w:hint="eastAsia" w:ascii="黑体" w:hAnsi="黑体" w:eastAsia="黑体" w:cs="黑体"/>
          <w:lang w:val="en-US" w:eastAsia="zh-CN"/>
        </w:rPr>
        <w:t>友好区</w:t>
      </w:r>
      <w:r>
        <w:rPr>
          <w:rFonts w:hint="eastAsia" w:ascii="黑体" w:hAnsi="黑体" w:eastAsia="黑体" w:cs="黑体"/>
        </w:rPr>
        <w:t>自然保护地外生态保护红线</w:t>
      </w:r>
      <w:r>
        <w:rPr>
          <w:rFonts w:hint="eastAsia" w:ascii="黑体" w:hAnsi="黑体" w:eastAsia="黑体" w:cs="黑体"/>
          <w:lang w:val="en-US" w:eastAsia="zh-CN"/>
        </w:rPr>
        <w:t>面积</w:t>
      </w:r>
      <w:r>
        <w:rPr>
          <w:rFonts w:hint="eastAsia" w:ascii="黑体" w:hAnsi="黑体" w:eastAsia="黑体" w:cs="黑体"/>
        </w:rPr>
        <w:t>统计表</w:t>
      </w:r>
    </w:p>
    <w:tbl>
      <w:tblPr>
        <w:tblStyle w:val="32"/>
        <w:tblW w:w="81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5"/>
        <w:gridCol w:w="2915"/>
        <w:gridCol w:w="2979"/>
      </w:tblGrid>
      <w:tr w14:paraId="3311A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2265" w:type="dxa"/>
            <w:tcBorders>
              <w:top w:val="single" w:color="000000" w:sz="10" w:space="0"/>
              <w:left w:val="single" w:color="000000" w:sz="10" w:space="0"/>
            </w:tcBorders>
            <w:vAlign w:val="top"/>
          </w:tcPr>
          <w:p w14:paraId="14C0EFAA">
            <w:pPr>
              <w:spacing w:before="121" w:line="220" w:lineRule="auto"/>
              <w:jc w:val="center"/>
              <w:rPr>
                <w:rFonts w:ascii="宋体" w:hAnsi="宋体" w:eastAsia="宋体" w:cs="宋体"/>
                <w:sz w:val="22"/>
                <w:szCs w:val="22"/>
              </w:rPr>
            </w:pPr>
            <w:r>
              <w:rPr>
                <w:rFonts w:ascii="宋体" w:hAnsi="宋体" w:eastAsia="宋体" w:cs="宋体"/>
                <w:spacing w:val="-2"/>
                <w:sz w:val="22"/>
                <w:szCs w:val="22"/>
              </w:rPr>
              <w:t>生态保护红线类型</w:t>
            </w:r>
          </w:p>
        </w:tc>
        <w:tc>
          <w:tcPr>
            <w:tcW w:w="2915" w:type="dxa"/>
            <w:tcBorders>
              <w:top w:val="single" w:color="000000" w:sz="10" w:space="0"/>
            </w:tcBorders>
            <w:vAlign w:val="top"/>
          </w:tcPr>
          <w:p w14:paraId="3725BD83">
            <w:pPr>
              <w:spacing w:before="120" w:line="221" w:lineRule="auto"/>
              <w:jc w:val="center"/>
              <w:rPr>
                <w:rFonts w:ascii="宋体" w:hAnsi="宋体" w:eastAsia="宋体" w:cs="宋体"/>
                <w:sz w:val="22"/>
                <w:szCs w:val="22"/>
              </w:rPr>
            </w:pPr>
            <w:r>
              <w:rPr>
                <w:rFonts w:ascii="宋体" w:hAnsi="宋体" w:eastAsia="宋体" w:cs="宋体"/>
                <w:spacing w:val="-5"/>
                <w:sz w:val="22"/>
                <w:szCs w:val="22"/>
              </w:rPr>
              <w:t>分区</w:t>
            </w:r>
          </w:p>
        </w:tc>
        <w:tc>
          <w:tcPr>
            <w:tcW w:w="2979" w:type="dxa"/>
            <w:tcBorders>
              <w:top w:val="single" w:color="000000" w:sz="10" w:space="0"/>
            </w:tcBorders>
            <w:vAlign w:val="top"/>
          </w:tcPr>
          <w:p w14:paraId="220FAD2E">
            <w:pPr>
              <w:spacing w:before="120" w:line="221" w:lineRule="auto"/>
              <w:jc w:val="center"/>
              <w:rPr>
                <w:rFonts w:ascii="宋体" w:hAnsi="宋体" w:eastAsia="宋体" w:cs="宋体"/>
                <w:sz w:val="22"/>
                <w:szCs w:val="22"/>
              </w:rPr>
            </w:pPr>
            <w:r>
              <w:rPr>
                <w:rFonts w:ascii="宋体" w:hAnsi="宋体" w:eastAsia="宋体" w:cs="宋体"/>
                <w:spacing w:val="-2"/>
                <w:sz w:val="22"/>
                <w:szCs w:val="22"/>
              </w:rPr>
              <w:t>面积（公顷）</w:t>
            </w:r>
          </w:p>
        </w:tc>
      </w:tr>
      <w:tr w14:paraId="55903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jc w:val="center"/>
        </w:trPr>
        <w:tc>
          <w:tcPr>
            <w:tcW w:w="2265" w:type="dxa"/>
            <w:tcBorders>
              <w:left w:val="single" w:color="000000" w:sz="10" w:space="0"/>
            </w:tcBorders>
            <w:vAlign w:val="top"/>
          </w:tcPr>
          <w:p w14:paraId="5D9A3F88">
            <w:pPr>
              <w:spacing w:before="178" w:line="220" w:lineRule="auto"/>
              <w:jc w:val="center"/>
              <w:rPr>
                <w:rFonts w:ascii="宋体" w:hAnsi="宋体" w:eastAsia="宋体" w:cs="宋体"/>
                <w:sz w:val="22"/>
                <w:szCs w:val="22"/>
              </w:rPr>
            </w:pPr>
            <w:r>
              <w:rPr>
                <w:rFonts w:ascii="宋体" w:hAnsi="宋体" w:eastAsia="宋体" w:cs="宋体"/>
                <w:spacing w:val="-2"/>
                <w:sz w:val="22"/>
                <w:szCs w:val="22"/>
              </w:rPr>
              <w:t>生物多样性维护</w:t>
            </w:r>
          </w:p>
        </w:tc>
        <w:tc>
          <w:tcPr>
            <w:tcW w:w="2915" w:type="dxa"/>
            <w:vAlign w:val="top"/>
          </w:tcPr>
          <w:p w14:paraId="5E0DDAC2">
            <w:pPr>
              <w:spacing w:before="36" w:line="219" w:lineRule="auto"/>
              <w:ind w:right="144"/>
              <w:jc w:val="center"/>
              <w:rPr>
                <w:rFonts w:ascii="宋体" w:hAnsi="宋体" w:eastAsia="宋体" w:cs="宋体"/>
                <w:sz w:val="22"/>
                <w:szCs w:val="22"/>
              </w:rPr>
            </w:pPr>
            <w:r>
              <w:rPr>
                <w:rFonts w:ascii="宋体" w:hAnsi="宋体" w:eastAsia="宋体" w:cs="宋体"/>
                <w:spacing w:val="-7"/>
                <w:sz w:val="22"/>
                <w:szCs w:val="22"/>
              </w:rPr>
              <w:t>自然保护地外生</w:t>
            </w:r>
            <w:r>
              <w:rPr>
                <w:rFonts w:ascii="宋体" w:hAnsi="宋体" w:eastAsia="宋体" w:cs="宋体"/>
                <w:spacing w:val="-2"/>
                <w:sz w:val="22"/>
                <w:szCs w:val="22"/>
              </w:rPr>
              <w:t>态保护红线</w:t>
            </w:r>
          </w:p>
        </w:tc>
        <w:tc>
          <w:tcPr>
            <w:tcW w:w="2979" w:type="dxa"/>
            <w:vAlign w:val="top"/>
          </w:tcPr>
          <w:p w14:paraId="5D8D3511">
            <w:pPr>
              <w:pStyle w:val="33"/>
              <w:spacing w:before="216" w:line="189" w:lineRule="auto"/>
              <w:jc w:val="center"/>
              <w:rPr>
                <w:rFonts w:hint="default" w:eastAsia="宋体"/>
                <w:lang w:val="en-US" w:eastAsia="zh-CN"/>
              </w:rPr>
            </w:pPr>
            <w:r>
              <w:rPr>
                <w:rFonts w:hint="eastAsia" w:eastAsia="宋体"/>
                <w:lang w:val="en-US" w:eastAsia="zh-CN"/>
              </w:rPr>
              <w:t>25522.2012</w:t>
            </w:r>
          </w:p>
        </w:tc>
      </w:tr>
      <w:tr w14:paraId="3E563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2265" w:type="dxa"/>
            <w:tcBorders>
              <w:left w:val="single" w:color="000000" w:sz="10" w:space="0"/>
            </w:tcBorders>
            <w:vAlign w:val="top"/>
          </w:tcPr>
          <w:p w14:paraId="5AA3F0E3">
            <w:pPr>
              <w:spacing w:before="186" w:line="220" w:lineRule="auto"/>
              <w:jc w:val="center"/>
              <w:rPr>
                <w:rFonts w:ascii="宋体" w:hAnsi="宋体" w:eastAsia="宋体" w:cs="宋体"/>
                <w:sz w:val="22"/>
                <w:szCs w:val="22"/>
              </w:rPr>
            </w:pPr>
            <w:r>
              <w:rPr>
                <w:rFonts w:ascii="宋体" w:hAnsi="宋体" w:eastAsia="宋体" w:cs="宋体"/>
                <w:spacing w:val="-3"/>
                <w:sz w:val="22"/>
                <w:szCs w:val="22"/>
              </w:rPr>
              <w:t>水土保持</w:t>
            </w:r>
          </w:p>
        </w:tc>
        <w:tc>
          <w:tcPr>
            <w:tcW w:w="2915" w:type="dxa"/>
            <w:vAlign w:val="top"/>
          </w:tcPr>
          <w:p w14:paraId="0FA41B58">
            <w:pPr>
              <w:spacing w:before="44" w:line="216" w:lineRule="auto"/>
              <w:ind w:right="144"/>
              <w:jc w:val="center"/>
              <w:rPr>
                <w:rFonts w:ascii="宋体" w:hAnsi="宋体" w:eastAsia="宋体" w:cs="宋体"/>
                <w:sz w:val="22"/>
                <w:szCs w:val="22"/>
              </w:rPr>
            </w:pPr>
            <w:r>
              <w:rPr>
                <w:rFonts w:ascii="宋体" w:hAnsi="宋体" w:eastAsia="宋体" w:cs="宋体"/>
                <w:spacing w:val="-7"/>
                <w:sz w:val="22"/>
                <w:szCs w:val="22"/>
              </w:rPr>
              <w:t>自然保护地外生</w:t>
            </w:r>
            <w:r>
              <w:rPr>
                <w:rFonts w:ascii="宋体" w:hAnsi="宋体" w:eastAsia="宋体" w:cs="宋体"/>
                <w:spacing w:val="-2"/>
                <w:sz w:val="22"/>
                <w:szCs w:val="22"/>
              </w:rPr>
              <w:t>态保护红线</w:t>
            </w:r>
          </w:p>
        </w:tc>
        <w:tc>
          <w:tcPr>
            <w:tcW w:w="2979" w:type="dxa"/>
            <w:vAlign w:val="top"/>
          </w:tcPr>
          <w:p w14:paraId="346C9ECA">
            <w:pPr>
              <w:pStyle w:val="33"/>
              <w:spacing w:before="224" w:line="189" w:lineRule="auto"/>
              <w:jc w:val="center"/>
              <w:rPr>
                <w:rFonts w:hint="default" w:eastAsia="宋体"/>
                <w:lang w:val="en-US" w:eastAsia="zh-CN"/>
              </w:rPr>
            </w:pPr>
            <w:r>
              <w:rPr>
                <w:rFonts w:hint="eastAsia" w:eastAsia="宋体"/>
                <w:lang w:val="en-US" w:eastAsia="zh-CN"/>
              </w:rPr>
              <w:t>2643.9768</w:t>
            </w:r>
          </w:p>
        </w:tc>
      </w:tr>
      <w:tr w14:paraId="32E13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2265" w:type="dxa"/>
            <w:tcBorders>
              <w:left w:val="single" w:color="000000" w:sz="10" w:space="0"/>
            </w:tcBorders>
            <w:vAlign w:val="top"/>
          </w:tcPr>
          <w:p w14:paraId="476BCFBC">
            <w:pPr>
              <w:spacing w:before="186" w:line="220" w:lineRule="auto"/>
              <w:jc w:val="center"/>
              <w:rPr>
                <w:rFonts w:hint="default" w:ascii="宋体" w:hAnsi="宋体" w:eastAsia="宋体" w:cs="宋体"/>
                <w:spacing w:val="-3"/>
                <w:sz w:val="22"/>
                <w:szCs w:val="22"/>
                <w:lang w:val="en-US" w:eastAsia="zh-CN"/>
              </w:rPr>
            </w:pPr>
            <w:r>
              <w:rPr>
                <w:rFonts w:hint="eastAsia" w:ascii="宋体" w:hAnsi="宋体" w:eastAsia="宋体" w:cs="宋体"/>
                <w:spacing w:val="-3"/>
                <w:sz w:val="22"/>
                <w:szCs w:val="22"/>
                <w:lang w:val="en-US" w:eastAsia="zh-CN"/>
              </w:rPr>
              <w:t>水源涵养</w:t>
            </w:r>
          </w:p>
        </w:tc>
        <w:tc>
          <w:tcPr>
            <w:tcW w:w="2915" w:type="dxa"/>
            <w:vAlign w:val="top"/>
          </w:tcPr>
          <w:p w14:paraId="09E682A8">
            <w:pPr>
              <w:spacing w:before="44" w:line="216" w:lineRule="auto"/>
              <w:ind w:right="144"/>
              <w:jc w:val="center"/>
              <w:rPr>
                <w:rFonts w:ascii="宋体" w:hAnsi="宋体" w:eastAsia="宋体" w:cs="宋体"/>
                <w:spacing w:val="-7"/>
                <w:sz w:val="22"/>
                <w:szCs w:val="22"/>
              </w:rPr>
            </w:pPr>
            <w:r>
              <w:rPr>
                <w:rFonts w:ascii="宋体" w:hAnsi="宋体" w:eastAsia="宋体" w:cs="宋体"/>
                <w:spacing w:val="-7"/>
                <w:sz w:val="22"/>
                <w:szCs w:val="22"/>
              </w:rPr>
              <w:t>自然保护地外生</w:t>
            </w:r>
            <w:r>
              <w:rPr>
                <w:rFonts w:ascii="宋体" w:hAnsi="宋体" w:eastAsia="宋体" w:cs="宋体"/>
                <w:spacing w:val="-2"/>
                <w:sz w:val="22"/>
                <w:szCs w:val="22"/>
              </w:rPr>
              <w:t>态保护红线</w:t>
            </w:r>
          </w:p>
        </w:tc>
        <w:tc>
          <w:tcPr>
            <w:tcW w:w="2979" w:type="dxa"/>
            <w:vAlign w:val="top"/>
          </w:tcPr>
          <w:p w14:paraId="49358921">
            <w:pPr>
              <w:pStyle w:val="33"/>
              <w:spacing w:before="224" w:line="189" w:lineRule="auto"/>
              <w:jc w:val="center"/>
              <w:rPr>
                <w:rFonts w:hint="default" w:eastAsia="宋体"/>
                <w:lang w:val="en-US" w:eastAsia="zh-CN"/>
              </w:rPr>
            </w:pPr>
            <w:r>
              <w:rPr>
                <w:rFonts w:hint="eastAsia" w:eastAsia="宋体"/>
                <w:lang w:val="en-US" w:eastAsia="zh-CN"/>
              </w:rPr>
              <w:t>47440.3665</w:t>
            </w:r>
          </w:p>
        </w:tc>
      </w:tr>
      <w:tr w14:paraId="56940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5180" w:type="dxa"/>
            <w:gridSpan w:val="2"/>
            <w:tcBorders>
              <w:left w:val="single" w:color="000000" w:sz="10" w:space="0"/>
              <w:bottom w:val="single" w:color="000000" w:sz="10" w:space="0"/>
            </w:tcBorders>
            <w:vAlign w:val="top"/>
          </w:tcPr>
          <w:p w14:paraId="4BD0AAFA">
            <w:pPr>
              <w:spacing w:before="135" w:line="222" w:lineRule="auto"/>
              <w:jc w:val="center"/>
              <w:rPr>
                <w:rFonts w:ascii="宋体" w:hAnsi="宋体" w:eastAsia="宋体" w:cs="宋体"/>
                <w:sz w:val="22"/>
                <w:szCs w:val="22"/>
              </w:rPr>
            </w:pPr>
            <w:r>
              <w:rPr>
                <w:rFonts w:ascii="宋体" w:hAnsi="宋体" w:eastAsia="宋体" w:cs="宋体"/>
                <w:spacing w:val="-4"/>
                <w:sz w:val="22"/>
                <w:szCs w:val="22"/>
              </w:rPr>
              <w:t>合计</w:t>
            </w:r>
          </w:p>
        </w:tc>
        <w:tc>
          <w:tcPr>
            <w:tcW w:w="2979" w:type="dxa"/>
            <w:tcBorders>
              <w:bottom w:val="single" w:color="000000" w:sz="10" w:space="0"/>
            </w:tcBorders>
            <w:vAlign w:val="top"/>
          </w:tcPr>
          <w:p w14:paraId="21D95E98">
            <w:pPr>
              <w:pStyle w:val="33"/>
              <w:spacing w:before="171" w:line="189" w:lineRule="auto"/>
              <w:jc w:val="center"/>
              <w:rPr>
                <w:rFonts w:hint="default" w:eastAsia="宋体"/>
                <w:lang w:val="en-US" w:eastAsia="zh-CN"/>
              </w:rPr>
            </w:pPr>
            <w:r>
              <w:rPr>
                <w:rFonts w:hint="eastAsia" w:eastAsia="宋体"/>
                <w:lang w:val="en-US" w:eastAsia="zh-CN"/>
              </w:rPr>
              <w:t>75606.5445</w:t>
            </w:r>
          </w:p>
        </w:tc>
      </w:tr>
    </w:tbl>
    <w:p w14:paraId="61EE6FBB">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18</w:t>
      </w:r>
      <w:r>
        <w:rPr>
          <w:rFonts w:hint="eastAsia" w:ascii="黑体" w:hAnsi="黑体" w:eastAsia="黑体" w:cs="黑体"/>
        </w:rPr>
        <w:t xml:space="preserve">  </w:t>
      </w:r>
      <w:r>
        <w:rPr>
          <w:rFonts w:hint="eastAsia" w:ascii="黑体" w:hAnsi="黑体" w:eastAsia="黑体" w:cs="黑体"/>
          <w:lang w:val="en-US" w:eastAsia="zh-CN"/>
        </w:rPr>
        <w:t>友好区</w:t>
      </w:r>
      <w:r>
        <w:rPr>
          <w:rFonts w:hint="eastAsia" w:ascii="黑体" w:hAnsi="黑体" w:eastAsia="黑体" w:cs="黑体"/>
        </w:rPr>
        <w:t>生态保护红线（自然保护地核心保护区外）</w:t>
      </w:r>
      <w:r>
        <w:rPr>
          <w:rFonts w:hint="eastAsia" w:ascii="黑体" w:hAnsi="黑体" w:eastAsia="黑体" w:cs="黑体"/>
          <w:lang w:val="en-US" w:eastAsia="zh-CN"/>
        </w:rPr>
        <w:t>面积</w:t>
      </w:r>
      <w:r>
        <w:rPr>
          <w:rFonts w:hint="eastAsia" w:ascii="黑体" w:hAnsi="黑体" w:eastAsia="黑体" w:cs="黑体"/>
        </w:rPr>
        <w:t>统计表</w:t>
      </w:r>
    </w:p>
    <w:tbl>
      <w:tblPr>
        <w:tblStyle w:val="32"/>
        <w:tblW w:w="80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0"/>
        <w:gridCol w:w="2735"/>
        <w:gridCol w:w="2624"/>
      </w:tblGrid>
      <w:tr w14:paraId="17DEF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2740" w:type="dxa"/>
            <w:tcBorders>
              <w:top w:val="single" w:color="000000" w:sz="10" w:space="0"/>
              <w:left w:val="single" w:color="000000" w:sz="10" w:space="0"/>
            </w:tcBorders>
            <w:vAlign w:val="top"/>
          </w:tcPr>
          <w:p w14:paraId="56AAFBE7">
            <w:pPr>
              <w:spacing w:before="90" w:line="220" w:lineRule="auto"/>
              <w:ind w:left="1217"/>
              <w:rPr>
                <w:rFonts w:ascii="宋体" w:hAnsi="宋体" w:eastAsia="宋体" w:cs="宋体"/>
                <w:sz w:val="22"/>
                <w:szCs w:val="22"/>
              </w:rPr>
            </w:pPr>
            <w:r>
              <w:rPr>
                <w:rFonts w:ascii="宋体" w:hAnsi="宋体" w:eastAsia="宋体" w:cs="宋体"/>
                <w:spacing w:val="-4"/>
                <w:sz w:val="22"/>
                <w:szCs w:val="22"/>
              </w:rPr>
              <w:t>类型</w:t>
            </w:r>
          </w:p>
        </w:tc>
        <w:tc>
          <w:tcPr>
            <w:tcW w:w="2735" w:type="dxa"/>
            <w:tcBorders>
              <w:top w:val="single" w:color="000000" w:sz="10" w:space="0"/>
            </w:tcBorders>
            <w:vAlign w:val="top"/>
          </w:tcPr>
          <w:p w14:paraId="1A471853">
            <w:pPr>
              <w:spacing w:before="90" w:line="220" w:lineRule="auto"/>
              <w:ind w:left="1226"/>
              <w:rPr>
                <w:rFonts w:hint="eastAsia" w:ascii="宋体" w:hAnsi="宋体" w:eastAsia="宋体" w:cs="宋体"/>
                <w:sz w:val="22"/>
                <w:szCs w:val="22"/>
                <w:lang w:val="en-US" w:eastAsia="zh-CN"/>
              </w:rPr>
            </w:pPr>
            <w:r>
              <w:rPr>
                <w:rFonts w:hint="eastAsia" w:ascii="宋体" w:hAnsi="宋体" w:cs="宋体"/>
                <w:sz w:val="22"/>
                <w:szCs w:val="22"/>
                <w:lang w:val="en-US" w:eastAsia="zh-CN"/>
              </w:rPr>
              <w:t>类型</w:t>
            </w:r>
          </w:p>
        </w:tc>
        <w:tc>
          <w:tcPr>
            <w:tcW w:w="2624" w:type="dxa"/>
            <w:tcBorders>
              <w:top w:val="single" w:color="000000" w:sz="10" w:space="0"/>
              <w:right w:val="single" w:color="000000" w:sz="10" w:space="0"/>
            </w:tcBorders>
            <w:vAlign w:val="top"/>
          </w:tcPr>
          <w:p w14:paraId="7D2BC536">
            <w:pPr>
              <w:spacing w:before="90" w:line="221" w:lineRule="auto"/>
              <w:ind w:left="731"/>
              <w:rPr>
                <w:rFonts w:ascii="宋体" w:hAnsi="宋体" w:eastAsia="宋体" w:cs="宋体"/>
                <w:sz w:val="22"/>
                <w:szCs w:val="22"/>
              </w:rPr>
            </w:pPr>
            <w:r>
              <w:rPr>
                <w:rFonts w:ascii="宋体" w:hAnsi="宋体" w:eastAsia="宋体" w:cs="宋体"/>
                <w:spacing w:val="-2"/>
                <w:sz w:val="22"/>
                <w:szCs w:val="22"/>
              </w:rPr>
              <w:t>面积（公顷）</w:t>
            </w:r>
          </w:p>
        </w:tc>
      </w:tr>
      <w:tr w14:paraId="193C9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2740" w:type="dxa"/>
            <w:vMerge w:val="restart"/>
            <w:tcBorders>
              <w:left w:val="single" w:color="000000" w:sz="10" w:space="0"/>
              <w:bottom w:val="nil"/>
            </w:tcBorders>
            <w:vAlign w:val="top"/>
          </w:tcPr>
          <w:p w14:paraId="55786CD8">
            <w:pPr>
              <w:spacing w:line="369" w:lineRule="auto"/>
              <w:rPr>
                <w:rFonts w:ascii="Arial"/>
                <w:sz w:val="21"/>
              </w:rPr>
            </w:pPr>
          </w:p>
          <w:p w14:paraId="553895FF">
            <w:pPr>
              <w:pStyle w:val="33"/>
              <w:spacing w:before="71" w:line="242" w:lineRule="auto"/>
              <w:ind w:left="212" w:right="120" w:hanging="92"/>
              <w:rPr>
                <w:rFonts w:ascii="宋体" w:hAnsi="宋体" w:eastAsia="宋体" w:cs="宋体"/>
              </w:rPr>
            </w:pPr>
            <w:r>
              <w:rPr>
                <w:rFonts w:ascii="宋体" w:hAnsi="宋体" w:eastAsia="宋体" w:cs="宋体"/>
                <w:spacing w:val="-1"/>
              </w:rPr>
              <w:t>生态保护红线（自然保护地核心保护区外</w:t>
            </w:r>
            <w:r>
              <w:rPr>
                <w:rFonts w:ascii="宋体" w:hAnsi="宋体" w:eastAsia="宋体" w:cs="宋体"/>
                <w:spacing w:val="-14"/>
              </w:rPr>
              <w:t>）</w:t>
            </w:r>
          </w:p>
        </w:tc>
        <w:tc>
          <w:tcPr>
            <w:tcW w:w="2735" w:type="dxa"/>
            <w:vAlign w:val="top"/>
          </w:tcPr>
          <w:p w14:paraId="38E66230">
            <w:pPr>
              <w:spacing w:before="38" w:line="218" w:lineRule="auto"/>
              <w:ind w:left="901" w:right="118" w:hanging="772"/>
              <w:rPr>
                <w:rFonts w:ascii="宋体" w:hAnsi="宋体" w:eastAsia="宋体" w:cs="宋体"/>
                <w:sz w:val="22"/>
                <w:szCs w:val="22"/>
              </w:rPr>
            </w:pPr>
            <w:r>
              <w:rPr>
                <w:rFonts w:ascii="宋体" w:hAnsi="宋体" w:eastAsia="宋体" w:cs="宋体"/>
                <w:spacing w:val="-1"/>
                <w:sz w:val="22"/>
                <w:szCs w:val="22"/>
              </w:rPr>
              <w:t>生态保护红线内自然保护地</w:t>
            </w:r>
            <w:r>
              <w:rPr>
                <w:rFonts w:ascii="宋体" w:hAnsi="宋体" w:eastAsia="宋体" w:cs="宋体"/>
                <w:spacing w:val="-3"/>
                <w:sz w:val="22"/>
                <w:szCs w:val="22"/>
              </w:rPr>
              <w:t>一般控制区</w:t>
            </w:r>
          </w:p>
        </w:tc>
        <w:tc>
          <w:tcPr>
            <w:tcW w:w="2624" w:type="dxa"/>
            <w:tcBorders>
              <w:right w:val="single" w:color="000000" w:sz="10" w:space="0"/>
            </w:tcBorders>
            <w:vAlign w:val="top"/>
          </w:tcPr>
          <w:p w14:paraId="69FAADA7">
            <w:pPr>
              <w:pStyle w:val="33"/>
              <w:spacing w:before="217" w:line="189" w:lineRule="auto"/>
              <w:ind w:left="923"/>
            </w:pPr>
            <w:r>
              <w:rPr>
                <w:rFonts w:hint="default" w:ascii="Times New Roman" w:hAnsi="Times New Roman" w:eastAsia="宋体" w:cs="Times New Roman"/>
                <w:i w:val="0"/>
                <w:iCs w:val="0"/>
                <w:color w:val="000000"/>
                <w:sz w:val="22"/>
                <w:szCs w:val="22"/>
                <w:u w:val="none"/>
                <w:lang w:val="en-US" w:eastAsia="zh-CN"/>
              </w:rPr>
              <w:t>2071.1548</w:t>
            </w:r>
          </w:p>
        </w:tc>
      </w:tr>
      <w:tr w14:paraId="0EF9E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 w:hRule="atLeast"/>
          <w:jc w:val="center"/>
        </w:trPr>
        <w:tc>
          <w:tcPr>
            <w:tcW w:w="2740" w:type="dxa"/>
            <w:vMerge w:val="continue"/>
            <w:tcBorders>
              <w:top w:val="nil"/>
              <w:left w:val="single" w:color="000000" w:sz="10" w:space="0"/>
              <w:bottom w:val="nil"/>
            </w:tcBorders>
            <w:vAlign w:val="top"/>
          </w:tcPr>
          <w:p w14:paraId="25208793">
            <w:pPr>
              <w:rPr>
                <w:rFonts w:ascii="Arial"/>
                <w:sz w:val="21"/>
              </w:rPr>
            </w:pPr>
          </w:p>
        </w:tc>
        <w:tc>
          <w:tcPr>
            <w:tcW w:w="2735" w:type="dxa"/>
            <w:vAlign w:val="top"/>
          </w:tcPr>
          <w:p w14:paraId="067F0720">
            <w:pPr>
              <w:spacing w:before="100" w:line="221" w:lineRule="auto"/>
              <w:ind w:left="163"/>
              <w:rPr>
                <w:rFonts w:ascii="宋体" w:hAnsi="宋体" w:eastAsia="宋体" w:cs="宋体"/>
                <w:sz w:val="22"/>
                <w:szCs w:val="22"/>
              </w:rPr>
            </w:pPr>
            <w:r>
              <w:rPr>
                <w:rFonts w:ascii="宋体" w:hAnsi="宋体" w:eastAsia="宋体" w:cs="宋体"/>
                <w:spacing w:val="-4"/>
                <w:sz w:val="22"/>
                <w:szCs w:val="22"/>
              </w:rPr>
              <w:t>自然保护地外生态保护红线</w:t>
            </w:r>
          </w:p>
        </w:tc>
        <w:tc>
          <w:tcPr>
            <w:tcW w:w="2624" w:type="dxa"/>
            <w:tcBorders>
              <w:right w:val="single" w:color="000000" w:sz="10" w:space="0"/>
            </w:tcBorders>
            <w:vAlign w:val="top"/>
          </w:tcPr>
          <w:p w14:paraId="0D10688D">
            <w:pPr>
              <w:pStyle w:val="33"/>
              <w:spacing w:before="138" w:line="189" w:lineRule="auto"/>
              <w:ind w:left="917"/>
              <w:rPr>
                <w:rFonts w:hint="default"/>
                <w:lang w:val="en-US"/>
              </w:rPr>
            </w:pPr>
            <w:r>
              <w:rPr>
                <w:rFonts w:hint="eastAsia" w:eastAsia="宋体"/>
                <w:lang w:val="en-US" w:eastAsia="zh-CN"/>
              </w:rPr>
              <w:t>75606.5445</w:t>
            </w:r>
          </w:p>
        </w:tc>
      </w:tr>
      <w:tr w14:paraId="0F599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2740" w:type="dxa"/>
            <w:vMerge w:val="continue"/>
            <w:tcBorders>
              <w:top w:val="nil"/>
              <w:left w:val="single" w:color="000000" w:sz="10" w:space="0"/>
              <w:bottom w:val="single" w:color="000000" w:sz="10" w:space="0"/>
            </w:tcBorders>
            <w:vAlign w:val="top"/>
          </w:tcPr>
          <w:p w14:paraId="5A5D6AE4">
            <w:pPr>
              <w:rPr>
                <w:rFonts w:ascii="Arial"/>
                <w:sz w:val="21"/>
              </w:rPr>
            </w:pPr>
          </w:p>
        </w:tc>
        <w:tc>
          <w:tcPr>
            <w:tcW w:w="2735" w:type="dxa"/>
            <w:tcBorders>
              <w:bottom w:val="single" w:color="000000" w:sz="10" w:space="0"/>
            </w:tcBorders>
            <w:vAlign w:val="top"/>
          </w:tcPr>
          <w:p w14:paraId="7C8A1C65">
            <w:pPr>
              <w:spacing w:before="104" w:line="222" w:lineRule="auto"/>
              <w:ind w:left="1232"/>
              <w:rPr>
                <w:rFonts w:ascii="宋体" w:hAnsi="宋体" w:eastAsia="宋体" w:cs="宋体"/>
                <w:sz w:val="22"/>
                <w:szCs w:val="22"/>
              </w:rPr>
            </w:pPr>
            <w:r>
              <w:rPr>
                <w:rFonts w:ascii="宋体" w:hAnsi="宋体" w:eastAsia="宋体" w:cs="宋体"/>
                <w:spacing w:val="-7"/>
                <w:sz w:val="22"/>
                <w:szCs w:val="22"/>
              </w:rPr>
              <w:t>小计</w:t>
            </w:r>
          </w:p>
        </w:tc>
        <w:tc>
          <w:tcPr>
            <w:tcW w:w="2624" w:type="dxa"/>
            <w:tcBorders>
              <w:bottom w:val="single" w:color="000000" w:sz="10" w:space="0"/>
              <w:right w:val="single" w:color="000000" w:sz="10" w:space="0"/>
            </w:tcBorders>
            <w:vAlign w:val="top"/>
          </w:tcPr>
          <w:p w14:paraId="31811AF4">
            <w:pPr>
              <w:pStyle w:val="33"/>
              <w:spacing w:before="143" w:line="189" w:lineRule="auto"/>
              <w:ind w:left="884"/>
              <w:rPr>
                <w:rFonts w:hint="default" w:eastAsia="宋体"/>
                <w:lang w:val="en-US" w:eastAsia="zh-CN"/>
              </w:rPr>
            </w:pPr>
            <w:r>
              <w:rPr>
                <w:rFonts w:hint="eastAsia" w:eastAsia="宋体"/>
                <w:lang w:val="en-US" w:eastAsia="zh-CN"/>
              </w:rPr>
              <w:t>77677.6993</w:t>
            </w:r>
          </w:p>
        </w:tc>
      </w:tr>
    </w:tbl>
    <w:p w14:paraId="5774DAD6">
      <w:pPr>
        <w:pStyle w:val="11"/>
        <w:spacing w:line="360" w:lineRule="auto"/>
        <w:ind w:leftChars="0" w:firstLine="560" w:firstLineChars="200"/>
        <w:jc w:val="both"/>
        <w:rPr>
          <w:rFonts w:ascii="Times New Roman" w:hAnsi="Times New Roman" w:eastAsia="宋体" w:cs="Times New Roman"/>
          <w:sz w:val="28"/>
          <w:szCs w:val="28"/>
        </w:rPr>
      </w:pPr>
    </w:p>
    <w:p w14:paraId="60DEF188">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生态保护红线（自然保护地核心保护区外）包括生态保护红线内自然保护地一般控制区和自然保护地外生态保护红线，扣除已纳入禁止养殖区的水域滩涂外，生态保护红线（自然保护地核心保护区外）内的水域滩涂划为限养区面积为</w:t>
      </w:r>
      <w:r>
        <w:rPr>
          <w:rFonts w:hint="eastAsia" w:ascii="Times New Roman" w:hAnsi="Times New Roman" w:eastAsia="宋体" w:cs="Times New Roman"/>
          <w:sz w:val="28"/>
          <w:szCs w:val="28"/>
          <w:lang w:val="en-US" w:eastAsia="zh-CN"/>
        </w:rPr>
        <w:t>554.4485</w:t>
      </w:r>
      <w:r>
        <w:rPr>
          <w:rFonts w:ascii="Times New Roman" w:hAnsi="Times New Roman" w:eastAsia="宋体" w:cs="Times New Roman"/>
          <w:sz w:val="28"/>
          <w:szCs w:val="28"/>
        </w:rPr>
        <w:t>公顷。</w:t>
      </w:r>
    </w:p>
    <w:p w14:paraId="68F68F8B">
      <w:pPr>
        <w:pStyle w:val="11"/>
        <w:spacing w:line="360" w:lineRule="auto"/>
        <w:ind w:leftChars="0" w:firstLine="560" w:firstLineChars="200"/>
        <w:jc w:val="both"/>
        <w:rPr>
          <w:rFonts w:ascii="Times New Roman" w:hAnsi="Times New Roman" w:eastAsia="宋体" w:cs="Times New Roman"/>
          <w:sz w:val="28"/>
          <w:szCs w:val="28"/>
        </w:rPr>
      </w:pPr>
    </w:p>
    <w:p w14:paraId="7CA9149C">
      <w:pPr>
        <w:pStyle w:val="11"/>
        <w:spacing w:line="360" w:lineRule="auto"/>
        <w:ind w:leftChars="0" w:firstLine="560" w:firstLineChars="200"/>
        <w:jc w:val="both"/>
        <w:rPr>
          <w:rFonts w:ascii="Times New Roman" w:hAnsi="Times New Roman" w:eastAsia="宋体" w:cs="Times New Roman"/>
          <w:sz w:val="28"/>
          <w:szCs w:val="28"/>
        </w:rPr>
      </w:pPr>
    </w:p>
    <w:p w14:paraId="7EDBCB39">
      <w:pPr>
        <w:pStyle w:val="35"/>
        <w:jc w:val="center"/>
        <w:rPr>
          <w:rFonts w:hint="eastAsia" w:ascii="黑体" w:hAnsi="黑体" w:eastAsia="黑体" w:cs="黑体"/>
          <w:sz w:val="28"/>
          <w:szCs w:val="28"/>
        </w:rPr>
      </w:pPr>
      <w:r>
        <w:rPr>
          <w:rFonts w:hint="eastAsia" w:ascii="黑体" w:hAnsi="黑体" w:eastAsia="黑体" w:cs="黑体"/>
        </w:rPr>
        <w:t>表3-</w:t>
      </w:r>
      <w:r>
        <w:rPr>
          <w:rFonts w:hint="eastAsia" w:ascii="黑体" w:hAnsi="黑体" w:eastAsia="黑体" w:cs="黑体"/>
          <w:lang w:val="en-US" w:eastAsia="zh-CN"/>
        </w:rPr>
        <w:t>19</w:t>
      </w:r>
      <w:r>
        <w:rPr>
          <w:rFonts w:hint="eastAsia" w:ascii="黑体" w:hAnsi="黑体" w:eastAsia="黑体" w:cs="黑体"/>
        </w:rPr>
        <w:t xml:space="preserve">  </w:t>
      </w:r>
      <w:r>
        <w:rPr>
          <w:rFonts w:hint="eastAsia" w:ascii="黑体" w:hAnsi="黑体" w:eastAsia="黑体" w:cs="黑体"/>
          <w:lang w:val="en-US" w:eastAsia="zh-CN"/>
        </w:rPr>
        <w:t>友好区</w:t>
      </w:r>
      <w:r>
        <w:rPr>
          <w:rFonts w:hint="eastAsia" w:ascii="黑体" w:hAnsi="黑体" w:eastAsia="黑体" w:cs="黑体"/>
        </w:rPr>
        <w:t>生态保护红线（自然保护地核心保护区外）</w:t>
      </w:r>
      <w:r>
        <w:rPr>
          <w:rFonts w:hint="eastAsia" w:ascii="黑体" w:hAnsi="黑体" w:eastAsia="黑体" w:cs="黑体"/>
          <w:lang w:val="en-US" w:eastAsia="zh-CN"/>
        </w:rPr>
        <w:t>限养区面积</w:t>
      </w:r>
      <w:r>
        <w:rPr>
          <w:rFonts w:hint="eastAsia" w:ascii="黑体" w:hAnsi="黑体" w:eastAsia="黑体" w:cs="黑体"/>
        </w:rPr>
        <w:t>统计表</w:t>
      </w:r>
    </w:p>
    <w:tbl>
      <w:tblPr>
        <w:tblStyle w:val="32"/>
        <w:tblW w:w="96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55"/>
        <w:gridCol w:w="2081"/>
        <w:gridCol w:w="2201"/>
        <w:gridCol w:w="2580"/>
      </w:tblGrid>
      <w:tr w14:paraId="3B57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2755" w:type="dxa"/>
            <w:tcBorders>
              <w:top w:val="single" w:color="000000" w:sz="2" w:space="0"/>
              <w:left w:val="single" w:color="000000" w:sz="2" w:space="0"/>
              <w:right w:val="single" w:color="000000" w:sz="2" w:space="0"/>
            </w:tcBorders>
            <w:vAlign w:val="top"/>
          </w:tcPr>
          <w:p w14:paraId="09810431">
            <w:pPr>
              <w:spacing w:before="91" w:line="220" w:lineRule="auto"/>
              <w:ind w:left="1208"/>
              <w:rPr>
                <w:rFonts w:ascii="宋体" w:hAnsi="宋体" w:eastAsia="宋体" w:cs="宋体"/>
                <w:spacing w:val="-4"/>
                <w:sz w:val="22"/>
                <w:szCs w:val="22"/>
              </w:rPr>
            </w:pPr>
            <w:r>
              <w:rPr>
                <w:rFonts w:ascii="宋体" w:hAnsi="宋体" w:eastAsia="宋体" w:cs="宋体"/>
                <w:spacing w:val="-4"/>
                <w:sz w:val="22"/>
                <w:szCs w:val="22"/>
              </w:rPr>
              <w:t>类型</w:t>
            </w:r>
          </w:p>
        </w:tc>
        <w:tc>
          <w:tcPr>
            <w:tcW w:w="2081" w:type="dxa"/>
            <w:tcBorders>
              <w:top w:val="single" w:color="000000" w:sz="2" w:space="0"/>
              <w:left w:val="single" w:color="000000" w:sz="2" w:space="0"/>
              <w:right w:val="single" w:color="000000" w:sz="2" w:space="0"/>
            </w:tcBorders>
            <w:vAlign w:val="top"/>
          </w:tcPr>
          <w:p w14:paraId="7A51DF31">
            <w:pPr>
              <w:spacing w:before="91" w:line="220" w:lineRule="auto"/>
              <w:ind w:left="1208"/>
              <w:rPr>
                <w:rFonts w:hint="default" w:ascii="宋体" w:hAnsi="宋体" w:eastAsia="宋体" w:cs="宋体"/>
                <w:sz w:val="22"/>
                <w:szCs w:val="22"/>
                <w:lang w:val="en-US" w:eastAsia="zh-CN"/>
              </w:rPr>
            </w:pPr>
            <w:r>
              <w:rPr>
                <w:rFonts w:hint="eastAsia" w:ascii="宋体" w:hAnsi="宋体" w:cs="宋体"/>
                <w:sz w:val="22"/>
                <w:szCs w:val="22"/>
                <w:lang w:val="en-US" w:eastAsia="zh-CN"/>
              </w:rPr>
              <w:t>类别</w:t>
            </w:r>
          </w:p>
        </w:tc>
        <w:tc>
          <w:tcPr>
            <w:tcW w:w="2201" w:type="dxa"/>
            <w:tcBorders>
              <w:top w:val="single" w:color="000000" w:sz="2" w:space="0"/>
              <w:left w:val="single" w:color="000000" w:sz="2" w:space="0"/>
              <w:right w:val="single" w:color="000000" w:sz="2" w:space="0"/>
            </w:tcBorders>
            <w:vAlign w:val="top"/>
          </w:tcPr>
          <w:p w14:paraId="7C1C7FF6">
            <w:pPr>
              <w:spacing w:before="91" w:line="220" w:lineRule="auto"/>
              <w:ind w:left="1090"/>
              <w:rPr>
                <w:rFonts w:ascii="宋体" w:hAnsi="宋体" w:eastAsia="宋体" w:cs="宋体"/>
                <w:sz w:val="22"/>
                <w:szCs w:val="22"/>
              </w:rPr>
            </w:pPr>
            <w:r>
              <w:rPr>
                <w:rFonts w:ascii="宋体" w:hAnsi="宋体" w:eastAsia="宋体" w:cs="宋体"/>
                <w:spacing w:val="-4"/>
                <w:sz w:val="22"/>
                <w:szCs w:val="22"/>
              </w:rPr>
              <w:t>地类</w:t>
            </w:r>
          </w:p>
        </w:tc>
        <w:tc>
          <w:tcPr>
            <w:tcW w:w="2580" w:type="dxa"/>
            <w:tcBorders>
              <w:top w:val="single" w:color="000000" w:sz="2" w:space="0"/>
              <w:left w:val="single" w:color="000000" w:sz="2" w:space="0"/>
              <w:right w:val="single" w:color="000000" w:sz="2" w:space="0"/>
            </w:tcBorders>
            <w:vAlign w:val="top"/>
          </w:tcPr>
          <w:p w14:paraId="5A223081">
            <w:pPr>
              <w:spacing w:before="90" w:line="221" w:lineRule="auto"/>
              <w:ind w:left="876"/>
              <w:rPr>
                <w:rFonts w:ascii="宋体" w:hAnsi="宋体" w:eastAsia="宋体" w:cs="宋体"/>
                <w:sz w:val="22"/>
                <w:szCs w:val="22"/>
              </w:rPr>
            </w:pPr>
            <w:r>
              <w:rPr>
                <w:rFonts w:ascii="宋体" w:hAnsi="宋体" w:eastAsia="宋体" w:cs="宋体"/>
                <w:spacing w:val="-2"/>
                <w:sz w:val="22"/>
                <w:szCs w:val="22"/>
              </w:rPr>
              <w:t>面积（公顷）</w:t>
            </w:r>
          </w:p>
        </w:tc>
      </w:tr>
      <w:tr w14:paraId="63524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2755" w:type="dxa"/>
            <w:vMerge w:val="restart"/>
            <w:tcBorders>
              <w:left w:val="single" w:color="000000" w:sz="2" w:space="0"/>
              <w:bottom w:val="single" w:color="000000" w:sz="2" w:space="0"/>
              <w:right w:val="single" w:color="000000" w:sz="2" w:space="0"/>
            </w:tcBorders>
            <w:vAlign w:val="top"/>
          </w:tcPr>
          <w:p w14:paraId="16122414">
            <w:pPr>
              <w:spacing w:before="22" w:line="221" w:lineRule="auto"/>
              <w:rPr>
                <w:rFonts w:hint="eastAsia" w:ascii="宋体" w:hAnsi="宋体" w:eastAsia="宋体" w:cs="宋体"/>
                <w:spacing w:val="-3"/>
                <w:sz w:val="22"/>
                <w:szCs w:val="22"/>
              </w:rPr>
            </w:pPr>
          </w:p>
          <w:p w14:paraId="7EECBFC7">
            <w:pPr>
              <w:spacing w:before="22" w:line="221" w:lineRule="auto"/>
              <w:rPr>
                <w:rFonts w:hint="eastAsia" w:ascii="宋体" w:hAnsi="宋体" w:eastAsia="宋体" w:cs="宋体"/>
                <w:spacing w:val="-3"/>
                <w:sz w:val="22"/>
                <w:szCs w:val="22"/>
              </w:rPr>
            </w:pPr>
          </w:p>
          <w:p w14:paraId="50535AFF">
            <w:pPr>
              <w:spacing w:before="22" w:line="221" w:lineRule="auto"/>
              <w:rPr>
                <w:rFonts w:hint="eastAsia" w:ascii="宋体" w:hAnsi="宋体" w:eastAsia="宋体" w:cs="宋体"/>
                <w:spacing w:val="-3"/>
                <w:sz w:val="22"/>
                <w:szCs w:val="22"/>
              </w:rPr>
            </w:pPr>
          </w:p>
          <w:p w14:paraId="1DA22770">
            <w:pPr>
              <w:spacing w:before="22" w:line="221" w:lineRule="auto"/>
              <w:rPr>
                <w:rFonts w:hint="eastAsia" w:ascii="宋体" w:hAnsi="宋体" w:eastAsia="宋体" w:cs="宋体"/>
                <w:spacing w:val="-3"/>
                <w:sz w:val="22"/>
                <w:szCs w:val="22"/>
              </w:rPr>
            </w:pPr>
          </w:p>
          <w:p w14:paraId="33D4B720">
            <w:pPr>
              <w:spacing w:before="22" w:line="221" w:lineRule="auto"/>
              <w:rPr>
                <w:rFonts w:hint="eastAsia" w:ascii="宋体" w:hAnsi="宋体" w:eastAsia="宋体" w:cs="宋体"/>
                <w:spacing w:val="-3"/>
                <w:sz w:val="22"/>
                <w:szCs w:val="22"/>
              </w:rPr>
            </w:pPr>
          </w:p>
          <w:p w14:paraId="5DE62D73">
            <w:pPr>
              <w:spacing w:before="22" w:line="221" w:lineRule="auto"/>
              <w:jc w:val="center"/>
              <w:rPr>
                <w:rFonts w:hint="eastAsia" w:ascii="宋体" w:hAnsi="宋体" w:eastAsia="宋体" w:cs="宋体"/>
                <w:spacing w:val="-3"/>
                <w:sz w:val="22"/>
                <w:szCs w:val="22"/>
              </w:rPr>
            </w:pPr>
            <w:r>
              <w:rPr>
                <w:rFonts w:hint="eastAsia" w:ascii="宋体" w:hAnsi="宋体" w:eastAsia="宋体" w:cs="宋体"/>
                <w:spacing w:val="-3"/>
                <w:sz w:val="22"/>
                <w:szCs w:val="22"/>
              </w:rPr>
              <w:t>生态保护红线</w:t>
            </w:r>
          </w:p>
          <w:p w14:paraId="0D0958AB">
            <w:pPr>
              <w:spacing w:before="22" w:line="221" w:lineRule="auto"/>
              <w:rPr>
                <w:rFonts w:ascii="宋体" w:hAnsi="宋体" w:eastAsia="宋体" w:cs="宋体"/>
                <w:spacing w:val="-3"/>
                <w:sz w:val="22"/>
                <w:szCs w:val="22"/>
              </w:rPr>
            </w:pPr>
            <w:r>
              <w:rPr>
                <w:rFonts w:hint="eastAsia" w:ascii="宋体" w:hAnsi="宋体" w:eastAsia="宋体" w:cs="宋体"/>
                <w:spacing w:val="-3"/>
                <w:sz w:val="22"/>
                <w:szCs w:val="22"/>
              </w:rPr>
              <w:t>（自然保护地核心保护区外）</w:t>
            </w:r>
          </w:p>
        </w:tc>
        <w:tc>
          <w:tcPr>
            <w:tcW w:w="2081" w:type="dxa"/>
            <w:vMerge w:val="restart"/>
            <w:tcBorders>
              <w:left w:val="single" w:color="000000" w:sz="2" w:space="0"/>
              <w:bottom w:val="single" w:color="000000" w:sz="2" w:space="0"/>
              <w:right w:val="single" w:color="000000" w:sz="2" w:space="0"/>
            </w:tcBorders>
            <w:vAlign w:val="top"/>
          </w:tcPr>
          <w:p w14:paraId="098CDF54">
            <w:pPr>
              <w:spacing w:line="243" w:lineRule="auto"/>
              <w:rPr>
                <w:rFonts w:ascii="Arial"/>
                <w:sz w:val="21"/>
              </w:rPr>
            </w:pPr>
          </w:p>
          <w:p w14:paraId="69ED87AB">
            <w:pPr>
              <w:spacing w:line="243" w:lineRule="auto"/>
              <w:rPr>
                <w:rFonts w:ascii="Arial"/>
                <w:sz w:val="21"/>
              </w:rPr>
            </w:pPr>
          </w:p>
          <w:p w14:paraId="700F3701">
            <w:pPr>
              <w:spacing w:before="22" w:line="221" w:lineRule="auto"/>
              <w:rPr>
                <w:rFonts w:ascii="宋体" w:hAnsi="宋体" w:eastAsia="宋体" w:cs="宋体"/>
                <w:sz w:val="22"/>
                <w:szCs w:val="22"/>
              </w:rPr>
            </w:pPr>
            <w:r>
              <w:rPr>
                <w:rFonts w:hint="eastAsia" w:ascii="宋体" w:hAnsi="宋体" w:cs="宋体"/>
                <w:spacing w:val="-1"/>
                <w:sz w:val="22"/>
                <w:szCs w:val="22"/>
                <w:lang w:val="en-US" w:eastAsia="zh-CN"/>
              </w:rPr>
              <w:t>1</w:t>
            </w:r>
            <w:r>
              <w:rPr>
                <w:rFonts w:ascii="宋体" w:hAnsi="宋体" w:eastAsia="宋体" w:cs="宋体"/>
                <w:spacing w:val="-1"/>
                <w:sz w:val="22"/>
                <w:szCs w:val="22"/>
              </w:rPr>
              <w:t>生态保护红线内自然保护地</w:t>
            </w:r>
            <w:r>
              <w:rPr>
                <w:rFonts w:ascii="宋体" w:hAnsi="宋体" w:eastAsia="宋体" w:cs="宋体"/>
                <w:spacing w:val="-3"/>
                <w:sz w:val="22"/>
                <w:szCs w:val="22"/>
              </w:rPr>
              <w:t>一般控制区</w:t>
            </w:r>
          </w:p>
        </w:tc>
        <w:tc>
          <w:tcPr>
            <w:tcW w:w="2201" w:type="dxa"/>
            <w:tcBorders>
              <w:left w:val="single" w:color="000000" w:sz="2" w:space="0"/>
              <w:bottom w:val="single" w:color="000000" w:sz="2" w:space="0"/>
              <w:right w:val="single" w:color="000000" w:sz="2" w:space="0"/>
            </w:tcBorders>
            <w:shd w:val="clear" w:color="auto" w:fill="auto"/>
            <w:vAlign w:val="top"/>
          </w:tcPr>
          <w:p w14:paraId="218642B4">
            <w:pPr>
              <w:spacing w:before="93" w:line="220" w:lineRule="auto"/>
              <w:ind w:left="872" w:leftChars="0"/>
              <w:rPr>
                <w:rFonts w:hint="default" w:ascii="宋体" w:hAnsi="宋体" w:eastAsia="宋体" w:cs="宋体"/>
                <w:spacing w:val="-3"/>
                <w:kern w:val="2"/>
                <w:sz w:val="22"/>
                <w:szCs w:val="22"/>
                <w:lang w:val="en-US" w:eastAsia="zh-CN" w:bidi="ar-SA"/>
              </w:rPr>
            </w:pPr>
            <w:r>
              <w:rPr>
                <w:rFonts w:hint="eastAsia" w:ascii="宋体" w:hAnsi="宋体" w:cs="宋体"/>
                <w:spacing w:val="-3"/>
                <w:sz w:val="22"/>
                <w:szCs w:val="22"/>
                <w:lang w:val="en-US" w:eastAsia="zh-CN"/>
              </w:rPr>
              <w:t>河流水面</w:t>
            </w:r>
          </w:p>
        </w:tc>
        <w:tc>
          <w:tcPr>
            <w:tcW w:w="2580" w:type="dxa"/>
            <w:tcBorders>
              <w:left w:val="single" w:color="000000" w:sz="2" w:space="0"/>
              <w:bottom w:val="single" w:color="000000" w:sz="2" w:space="0"/>
              <w:right w:val="single" w:color="000000" w:sz="2" w:space="0"/>
            </w:tcBorders>
            <w:shd w:val="clear" w:color="auto" w:fill="auto"/>
            <w:vAlign w:val="top"/>
          </w:tcPr>
          <w:p w14:paraId="1BA5090A">
            <w:pPr>
              <w:pStyle w:val="33"/>
              <w:spacing w:before="131" w:line="189" w:lineRule="auto"/>
              <w:ind w:left="1227" w:leftChars="0"/>
              <w:rPr>
                <w:rFonts w:hint="default" w:ascii="Times New Roman" w:hAnsi="Times New Roman" w:eastAsia="宋体" w:cs="Times New Roman"/>
                <w:kern w:val="2"/>
                <w:sz w:val="22"/>
                <w:szCs w:val="22"/>
                <w:lang w:val="en-US" w:eastAsia="zh-CN" w:bidi="ar-SA"/>
              </w:rPr>
            </w:pPr>
            <w:r>
              <w:rPr>
                <w:rFonts w:hint="eastAsia" w:eastAsia="宋体" w:cs="Times New Roman"/>
                <w:kern w:val="2"/>
                <w:sz w:val="22"/>
                <w:szCs w:val="22"/>
                <w:lang w:val="en-US" w:eastAsia="zh-CN" w:bidi="ar-SA"/>
              </w:rPr>
              <w:t>156.9477</w:t>
            </w:r>
          </w:p>
        </w:tc>
      </w:tr>
      <w:tr w14:paraId="3E41D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68BEAF81">
            <w:pPr>
              <w:rPr>
                <w:rFonts w:ascii="Arial"/>
                <w:sz w:val="21"/>
              </w:rPr>
            </w:pPr>
          </w:p>
        </w:tc>
        <w:tc>
          <w:tcPr>
            <w:tcW w:w="2081" w:type="dxa"/>
            <w:vMerge w:val="continue"/>
            <w:tcBorders>
              <w:top w:val="single" w:color="000000" w:sz="2" w:space="0"/>
              <w:left w:val="single" w:color="000000" w:sz="2" w:space="0"/>
              <w:bottom w:val="single" w:color="000000" w:sz="2" w:space="0"/>
              <w:right w:val="single" w:color="000000" w:sz="2" w:space="0"/>
            </w:tcBorders>
            <w:vAlign w:val="top"/>
          </w:tcPr>
          <w:p w14:paraId="25742C57">
            <w:pPr>
              <w:rPr>
                <w:rFonts w:ascii="Arial"/>
                <w:sz w:val="21"/>
              </w:rPr>
            </w:pPr>
          </w:p>
        </w:tc>
        <w:tc>
          <w:tcPr>
            <w:tcW w:w="2201" w:type="dxa"/>
            <w:tcBorders>
              <w:top w:val="single" w:color="000000" w:sz="2" w:space="0"/>
              <w:left w:val="single" w:color="000000" w:sz="2" w:space="0"/>
              <w:bottom w:val="single" w:color="000000" w:sz="2" w:space="0"/>
              <w:right w:val="single" w:color="000000" w:sz="2" w:space="0"/>
            </w:tcBorders>
            <w:vAlign w:val="top"/>
          </w:tcPr>
          <w:p w14:paraId="089C16A8">
            <w:pPr>
              <w:spacing w:before="99" w:line="220" w:lineRule="auto"/>
              <w:ind w:left="869"/>
              <w:rPr>
                <w:rFonts w:ascii="宋体" w:hAnsi="宋体" w:eastAsia="宋体" w:cs="宋体"/>
                <w:sz w:val="22"/>
                <w:szCs w:val="22"/>
              </w:rPr>
            </w:pPr>
            <w:r>
              <w:rPr>
                <w:rFonts w:ascii="宋体" w:hAnsi="宋体" w:eastAsia="宋体" w:cs="宋体"/>
                <w:spacing w:val="-2"/>
                <w:sz w:val="22"/>
                <w:szCs w:val="22"/>
              </w:rPr>
              <w:t>坑塘水面</w:t>
            </w:r>
          </w:p>
        </w:tc>
        <w:tc>
          <w:tcPr>
            <w:tcW w:w="2580" w:type="dxa"/>
            <w:tcBorders>
              <w:top w:val="single" w:color="000000" w:sz="2" w:space="0"/>
              <w:left w:val="single" w:color="000000" w:sz="2" w:space="0"/>
              <w:bottom w:val="single" w:color="000000" w:sz="2" w:space="0"/>
              <w:right w:val="single" w:color="000000" w:sz="2" w:space="0"/>
            </w:tcBorders>
            <w:vAlign w:val="top"/>
          </w:tcPr>
          <w:p w14:paraId="136F91C3">
            <w:pPr>
              <w:pStyle w:val="33"/>
              <w:spacing w:before="137" w:line="189" w:lineRule="auto"/>
              <w:ind w:left="1195"/>
              <w:rPr>
                <w:rFonts w:hint="default" w:eastAsia="宋体"/>
                <w:lang w:val="en-US" w:eastAsia="zh-CN"/>
              </w:rPr>
            </w:pPr>
            <w:r>
              <w:rPr>
                <w:rFonts w:hint="eastAsia" w:eastAsia="宋体"/>
                <w:lang w:val="en-US" w:eastAsia="zh-CN"/>
              </w:rPr>
              <w:t>21.7075</w:t>
            </w:r>
          </w:p>
        </w:tc>
      </w:tr>
      <w:tr w14:paraId="6411D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5B0C021C">
            <w:pPr>
              <w:rPr>
                <w:rFonts w:ascii="Arial"/>
                <w:sz w:val="21"/>
              </w:rPr>
            </w:pPr>
          </w:p>
        </w:tc>
        <w:tc>
          <w:tcPr>
            <w:tcW w:w="2081" w:type="dxa"/>
            <w:vMerge w:val="continue"/>
            <w:tcBorders>
              <w:top w:val="single" w:color="000000" w:sz="2" w:space="0"/>
              <w:left w:val="single" w:color="000000" w:sz="2" w:space="0"/>
              <w:bottom w:val="single" w:color="000000" w:sz="2" w:space="0"/>
              <w:right w:val="single" w:color="000000" w:sz="2" w:space="0"/>
            </w:tcBorders>
            <w:vAlign w:val="top"/>
          </w:tcPr>
          <w:p w14:paraId="199E041A">
            <w:pPr>
              <w:rPr>
                <w:rFonts w:ascii="Arial"/>
                <w:sz w:val="21"/>
              </w:rPr>
            </w:pPr>
          </w:p>
        </w:tc>
        <w:tc>
          <w:tcPr>
            <w:tcW w:w="2201" w:type="dxa"/>
            <w:tcBorders>
              <w:top w:val="single" w:color="000000" w:sz="2" w:space="0"/>
              <w:left w:val="single" w:color="000000" w:sz="2" w:space="0"/>
              <w:bottom w:val="single" w:color="000000" w:sz="2" w:space="0"/>
              <w:right w:val="single" w:color="000000" w:sz="2" w:space="0"/>
            </w:tcBorders>
            <w:vAlign w:val="top"/>
          </w:tcPr>
          <w:p w14:paraId="09F44503">
            <w:pPr>
              <w:spacing w:before="102" w:line="220" w:lineRule="auto"/>
              <w:ind w:left="870"/>
              <w:rPr>
                <w:rFonts w:hint="default" w:ascii="宋体" w:hAnsi="宋体" w:eastAsia="宋体" w:cs="宋体"/>
                <w:spacing w:val="-3"/>
                <w:sz w:val="22"/>
                <w:szCs w:val="22"/>
                <w:lang w:val="en-US" w:eastAsia="zh-CN"/>
              </w:rPr>
            </w:pPr>
            <w:r>
              <w:rPr>
                <w:rFonts w:hint="eastAsia" w:ascii="宋体" w:hAnsi="宋体" w:cs="宋体"/>
                <w:spacing w:val="-3"/>
                <w:sz w:val="22"/>
                <w:szCs w:val="22"/>
                <w:lang w:val="en-US" w:eastAsia="zh-CN"/>
              </w:rPr>
              <w:t>内陆滩涂</w:t>
            </w:r>
          </w:p>
        </w:tc>
        <w:tc>
          <w:tcPr>
            <w:tcW w:w="2580" w:type="dxa"/>
            <w:tcBorders>
              <w:top w:val="single" w:color="000000" w:sz="2" w:space="0"/>
              <w:left w:val="single" w:color="000000" w:sz="2" w:space="0"/>
              <w:bottom w:val="single" w:color="000000" w:sz="2" w:space="0"/>
              <w:right w:val="single" w:color="000000" w:sz="2" w:space="0"/>
            </w:tcBorders>
            <w:vAlign w:val="top"/>
          </w:tcPr>
          <w:p w14:paraId="192B3DF8">
            <w:pPr>
              <w:pStyle w:val="33"/>
              <w:spacing w:before="140" w:line="189" w:lineRule="auto"/>
              <w:ind w:left="1232"/>
              <w:rPr>
                <w:rFonts w:hint="default" w:eastAsia="宋体"/>
                <w:lang w:val="en-US" w:eastAsia="zh-CN"/>
              </w:rPr>
            </w:pPr>
            <w:r>
              <w:rPr>
                <w:rFonts w:hint="eastAsia" w:eastAsia="宋体"/>
                <w:lang w:val="en-US" w:eastAsia="zh-CN"/>
              </w:rPr>
              <w:t>46.1339</w:t>
            </w:r>
          </w:p>
        </w:tc>
      </w:tr>
      <w:tr w14:paraId="7D6BD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37064F26">
            <w:pPr>
              <w:rPr>
                <w:rFonts w:ascii="Arial"/>
                <w:sz w:val="21"/>
              </w:rPr>
            </w:pPr>
          </w:p>
        </w:tc>
        <w:tc>
          <w:tcPr>
            <w:tcW w:w="2081" w:type="dxa"/>
            <w:vMerge w:val="continue"/>
            <w:tcBorders>
              <w:top w:val="single" w:color="000000" w:sz="2" w:space="0"/>
              <w:left w:val="single" w:color="000000" w:sz="2" w:space="0"/>
              <w:bottom w:val="single" w:color="000000" w:sz="2" w:space="0"/>
              <w:right w:val="single" w:color="000000" w:sz="2" w:space="0"/>
            </w:tcBorders>
            <w:vAlign w:val="top"/>
          </w:tcPr>
          <w:p w14:paraId="39C426A0">
            <w:pPr>
              <w:rPr>
                <w:rFonts w:ascii="Arial"/>
                <w:sz w:val="21"/>
              </w:rPr>
            </w:pPr>
          </w:p>
        </w:tc>
        <w:tc>
          <w:tcPr>
            <w:tcW w:w="2201" w:type="dxa"/>
            <w:tcBorders>
              <w:top w:val="single" w:color="000000" w:sz="2" w:space="0"/>
              <w:left w:val="single" w:color="000000" w:sz="2" w:space="0"/>
              <w:bottom w:val="single" w:color="000000" w:sz="2" w:space="0"/>
              <w:right w:val="single" w:color="000000" w:sz="2" w:space="0"/>
            </w:tcBorders>
            <w:vAlign w:val="top"/>
          </w:tcPr>
          <w:p w14:paraId="518D224D">
            <w:pPr>
              <w:spacing w:before="108" w:line="222" w:lineRule="auto"/>
              <w:ind w:left="1096"/>
              <w:rPr>
                <w:rFonts w:ascii="宋体" w:hAnsi="宋体" w:eastAsia="宋体" w:cs="宋体"/>
                <w:sz w:val="22"/>
                <w:szCs w:val="22"/>
              </w:rPr>
            </w:pPr>
            <w:r>
              <w:rPr>
                <w:rFonts w:ascii="宋体" w:hAnsi="宋体" w:eastAsia="宋体" w:cs="宋体"/>
                <w:spacing w:val="-7"/>
                <w:sz w:val="22"/>
                <w:szCs w:val="22"/>
              </w:rPr>
              <w:t>小计</w:t>
            </w:r>
          </w:p>
        </w:tc>
        <w:tc>
          <w:tcPr>
            <w:tcW w:w="2580" w:type="dxa"/>
            <w:tcBorders>
              <w:top w:val="single" w:color="000000" w:sz="2" w:space="0"/>
              <w:left w:val="single" w:color="000000" w:sz="2" w:space="0"/>
              <w:bottom w:val="single" w:color="000000" w:sz="2" w:space="0"/>
              <w:right w:val="single" w:color="000000" w:sz="2" w:space="0"/>
            </w:tcBorders>
            <w:vAlign w:val="top"/>
          </w:tcPr>
          <w:p w14:paraId="083399AD">
            <w:pPr>
              <w:pStyle w:val="33"/>
              <w:spacing w:before="146" w:line="189" w:lineRule="auto"/>
              <w:ind w:left="1195"/>
              <w:rPr>
                <w:rFonts w:hint="default" w:eastAsia="宋体"/>
                <w:lang w:val="en-US" w:eastAsia="zh-CN"/>
              </w:rPr>
            </w:pPr>
            <w:r>
              <w:rPr>
                <w:rFonts w:hint="eastAsia" w:eastAsia="宋体"/>
                <w:lang w:val="en-US" w:eastAsia="zh-CN"/>
              </w:rPr>
              <w:t>224.7891</w:t>
            </w:r>
          </w:p>
        </w:tc>
      </w:tr>
      <w:tr w14:paraId="01736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4C80C457">
            <w:pPr>
              <w:spacing w:before="91" w:line="220" w:lineRule="auto"/>
              <w:ind w:left="1208"/>
              <w:rPr>
                <w:rFonts w:ascii="宋体" w:hAnsi="宋体" w:eastAsia="宋体" w:cs="宋体"/>
                <w:spacing w:val="-4"/>
                <w:sz w:val="22"/>
                <w:szCs w:val="22"/>
              </w:rPr>
            </w:pPr>
          </w:p>
        </w:tc>
        <w:tc>
          <w:tcPr>
            <w:tcW w:w="6862" w:type="dxa"/>
            <w:gridSpan w:val="3"/>
            <w:tcBorders>
              <w:top w:val="single" w:color="000000" w:sz="2" w:space="0"/>
              <w:left w:val="single" w:color="000000" w:sz="2" w:space="0"/>
              <w:bottom w:val="single" w:color="000000" w:sz="2" w:space="0"/>
              <w:right w:val="single" w:color="000000" w:sz="2" w:space="0"/>
            </w:tcBorders>
            <w:vAlign w:val="top"/>
          </w:tcPr>
          <w:p w14:paraId="073628F2">
            <w:pPr>
              <w:spacing w:before="90" w:line="221" w:lineRule="auto"/>
              <w:ind w:left="876"/>
              <w:rPr>
                <w:rFonts w:ascii="宋体" w:hAnsi="宋体" w:eastAsia="宋体" w:cs="宋体"/>
                <w:sz w:val="22"/>
                <w:szCs w:val="22"/>
              </w:rPr>
            </w:pPr>
          </w:p>
        </w:tc>
      </w:tr>
      <w:tr w14:paraId="240BF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185BA6D6">
            <w:pPr>
              <w:spacing w:before="22" w:line="221" w:lineRule="auto"/>
              <w:rPr>
                <w:rFonts w:ascii="宋体" w:hAnsi="宋体" w:eastAsia="宋体" w:cs="宋体"/>
                <w:spacing w:val="-4"/>
                <w:sz w:val="22"/>
                <w:szCs w:val="22"/>
              </w:rPr>
            </w:pPr>
          </w:p>
        </w:tc>
        <w:tc>
          <w:tcPr>
            <w:tcW w:w="2081" w:type="dxa"/>
            <w:vMerge w:val="restart"/>
            <w:tcBorders>
              <w:top w:val="single" w:color="000000" w:sz="2" w:space="0"/>
              <w:left w:val="single" w:color="000000" w:sz="2" w:space="0"/>
              <w:bottom w:val="single" w:color="000000" w:sz="2" w:space="0"/>
              <w:right w:val="single" w:color="000000" w:sz="2" w:space="0"/>
            </w:tcBorders>
            <w:vAlign w:val="top"/>
          </w:tcPr>
          <w:p w14:paraId="48451116">
            <w:pPr>
              <w:spacing w:line="243" w:lineRule="auto"/>
              <w:rPr>
                <w:rFonts w:ascii="Arial"/>
                <w:sz w:val="21"/>
              </w:rPr>
            </w:pPr>
          </w:p>
          <w:p w14:paraId="799B59A2">
            <w:pPr>
              <w:spacing w:line="243" w:lineRule="auto"/>
              <w:rPr>
                <w:rFonts w:ascii="Arial"/>
                <w:sz w:val="21"/>
              </w:rPr>
            </w:pPr>
          </w:p>
          <w:p w14:paraId="69072BB8">
            <w:pPr>
              <w:spacing w:before="22" w:line="221" w:lineRule="auto"/>
              <w:rPr>
                <w:rFonts w:ascii="宋体" w:hAnsi="宋体" w:eastAsia="宋体" w:cs="宋体"/>
                <w:sz w:val="22"/>
                <w:szCs w:val="22"/>
              </w:rPr>
            </w:pPr>
            <w:r>
              <w:rPr>
                <w:rFonts w:hint="eastAsia" w:ascii="宋体" w:hAnsi="宋体" w:cs="宋体"/>
                <w:spacing w:val="-4"/>
                <w:sz w:val="22"/>
                <w:szCs w:val="22"/>
                <w:lang w:val="en-US" w:eastAsia="zh-CN"/>
              </w:rPr>
              <w:t>2</w:t>
            </w:r>
            <w:r>
              <w:rPr>
                <w:rFonts w:ascii="宋体" w:hAnsi="宋体" w:eastAsia="宋体" w:cs="宋体"/>
                <w:spacing w:val="-4"/>
                <w:sz w:val="22"/>
                <w:szCs w:val="22"/>
              </w:rPr>
              <w:t>自然保护地外生态保护红线</w:t>
            </w:r>
          </w:p>
        </w:tc>
        <w:tc>
          <w:tcPr>
            <w:tcW w:w="2201" w:type="dxa"/>
            <w:tcBorders>
              <w:top w:val="single" w:color="000000" w:sz="2" w:space="0"/>
              <w:left w:val="single" w:color="000000" w:sz="2" w:space="0"/>
              <w:bottom w:val="single" w:color="000000" w:sz="2" w:space="0"/>
              <w:right w:val="single" w:color="000000" w:sz="2" w:space="0"/>
            </w:tcBorders>
            <w:shd w:val="clear" w:color="auto" w:fill="auto"/>
            <w:vAlign w:val="top"/>
          </w:tcPr>
          <w:p w14:paraId="7A877D92">
            <w:pPr>
              <w:spacing w:before="93" w:line="220" w:lineRule="auto"/>
              <w:ind w:left="872" w:leftChars="0"/>
              <w:rPr>
                <w:rFonts w:hint="default" w:ascii="宋体" w:hAnsi="宋体" w:eastAsia="宋体" w:cs="宋体"/>
                <w:spacing w:val="-3"/>
                <w:kern w:val="2"/>
                <w:sz w:val="22"/>
                <w:szCs w:val="22"/>
                <w:lang w:val="en-US" w:eastAsia="zh-CN" w:bidi="ar-SA"/>
              </w:rPr>
            </w:pPr>
            <w:r>
              <w:rPr>
                <w:rFonts w:hint="eastAsia" w:ascii="宋体" w:hAnsi="宋体" w:cs="宋体"/>
                <w:spacing w:val="-3"/>
                <w:sz w:val="22"/>
                <w:szCs w:val="22"/>
                <w:lang w:val="en-US" w:eastAsia="zh-CN"/>
              </w:rPr>
              <w:t>河流水面</w:t>
            </w:r>
          </w:p>
        </w:tc>
        <w:tc>
          <w:tcPr>
            <w:tcW w:w="2580" w:type="dxa"/>
            <w:tcBorders>
              <w:top w:val="single" w:color="000000" w:sz="2" w:space="0"/>
              <w:left w:val="single" w:color="000000" w:sz="2" w:space="0"/>
              <w:bottom w:val="single" w:color="000000" w:sz="2" w:space="0"/>
              <w:right w:val="single" w:color="000000" w:sz="2" w:space="0"/>
            </w:tcBorders>
            <w:shd w:val="clear" w:color="auto" w:fill="auto"/>
            <w:vAlign w:val="top"/>
          </w:tcPr>
          <w:p w14:paraId="74C973FA">
            <w:pPr>
              <w:pStyle w:val="33"/>
              <w:spacing w:before="131" w:line="189" w:lineRule="auto"/>
              <w:ind w:left="1227" w:leftChars="0"/>
              <w:rPr>
                <w:rFonts w:hint="default" w:ascii="Times New Roman" w:hAnsi="Times New Roman" w:eastAsia="宋体" w:cs="Times New Roman"/>
                <w:kern w:val="2"/>
                <w:sz w:val="22"/>
                <w:szCs w:val="22"/>
                <w:lang w:val="en-US" w:eastAsia="zh-CN" w:bidi="ar-SA"/>
              </w:rPr>
            </w:pPr>
            <w:r>
              <w:rPr>
                <w:rFonts w:hint="eastAsia" w:eastAsia="宋体" w:cs="Times New Roman"/>
                <w:kern w:val="2"/>
                <w:sz w:val="22"/>
                <w:szCs w:val="22"/>
                <w:lang w:val="en-US" w:eastAsia="zh-CN" w:bidi="ar-SA"/>
              </w:rPr>
              <w:t>324.7089</w:t>
            </w:r>
          </w:p>
        </w:tc>
      </w:tr>
      <w:tr w14:paraId="6E41F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690E1986">
            <w:pPr>
              <w:rPr>
                <w:rFonts w:ascii="Arial"/>
                <w:sz w:val="21"/>
              </w:rPr>
            </w:pPr>
          </w:p>
        </w:tc>
        <w:tc>
          <w:tcPr>
            <w:tcW w:w="2081" w:type="dxa"/>
            <w:vMerge w:val="continue"/>
            <w:tcBorders>
              <w:top w:val="single" w:color="000000" w:sz="2" w:space="0"/>
              <w:left w:val="single" w:color="000000" w:sz="2" w:space="0"/>
              <w:bottom w:val="single" w:color="000000" w:sz="2" w:space="0"/>
              <w:right w:val="single" w:color="000000" w:sz="2" w:space="0"/>
            </w:tcBorders>
            <w:vAlign w:val="top"/>
          </w:tcPr>
          <w:p w14:paraId="6F003AFE">
            <w:pPr>
              <w:rPr>
                <w:rFonts w:ascii="Arial"/>
                <w:sz w:val="21"/>
              </w:rPr>
            </w:pPr>
          </w:p>
        </w:tc>
        <w:tc>
          <w:tcPr>
            <w:tcW w:w="2201" w:type="dxa"/>
            <w:tcBorders>
              <w:top w:val="single" w:color="000000" w:sz="2" w:space="0"/>
              <w:left w:val="single" w:color="000000" w:sz="2" w:space="0"/>
              <w:bottom w:val="single" w:color="000000" w:sz="2" w:space="0"/>
              <w:right w:val="single" w:color="000000" w:sz="2" w:space="0"/>
            </w:tcBorders>
            <w:vAlign w:val="top"/>
          </w:tcPr>
          <w:p w14:paraId="2BA1E1E6">
            <w:pPr>
              <w:spacing w:before="99" w:line="220" w:lineRule="auto"/>
              <w:ind w:left="869"/>
              <w:rPr>
                <w:rFonts w:ascii="宋体" w:hAnsi="宋体" w:eastAsia="宋体" w:cs="宋体"/>
                <w:sz w:val="22"/>
                <w:szCs w:val="22"/>
              </w:rPr>
            </w:pPr>
            <w:r>
              <w:rPr>
                <w:rFonts w:ascii="宋体" w:hAnsi="宋体" w:eastAsia="宋体" w:cs="宋体"/>
                <w:spacing w:val="-2"/>
                <w:sz w:val="22"/>
                <w:szCs w:val="22"/>
              </w:rPr>
              <w:t>坑塘水面</w:t>
            </w:r>
          </w:p>
        </w:tc>
        <w:tc>
          <w:tcPr>
            <w:tcW w:w="2580" w:type="dxa"/>
            <w:tcBorders>
              <w:top w:val="single" w:color="000000" w:sz="2" w:space="0"/>
              <w:left w:val="single" w:color="000000" w:sz="2" w:space="0"/>
              <w:bottom w:val="single" w:color="000000" w:sz="2" w:space="0"/>
              <w:right w:val="single" w:color="000000" w:sz="2" w:space="0"/>
            </w:tcBorders>
            <w:vAlign w:val="top"/>
          </w:tcPr>
          <w:p w14:paraId="39BFD4F3">
            <w:pPr>
              <w:pStyle w:val="33"/>
              <w:spacing w:before="137" w:line="189" w:lineRule="auto"/>
              <w:ind w:left="1195"/>
              <w:rPr>
                <w:rFonts w:hint="default" w:eastAsia="宋体"/>
                <w:lang w:val="en-US" w:eastAsia="zh-CN"/>
              </w:rPr>
            </w:pPr>
            <w:r>
              <w:rPr>
                <w:rFonts w:hint="eastAsia" w:eastAsia="宋体"/>
                <w:lang w:val="en-US" w:eastAsia="zh-CN"/>
              </w:rPr>
              <w:t>2.3970</w:t>
            </w:r>
          </w:p>
        </w:tc>
      </w:tr>
      <w:tr w14:paraId="535F4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5B8910CF">
            <w:pPr>
              <w:rPr>
                <w:rFonts w:ascii="Arial"/>
                <w:sz w:val="21"/>
              </w:rPr>
            </w:pPr>
          </w:p>
        </w:tc>
        <w:tc>
          <w:tcPr>
            <w:tcW w:w="2081" w:type="dxa"/>
            <w:vMerge w:val="continue"/>
            <w:tcBorders>
              <w:top w:val="single" w:color="000000" w:sz="2" w:space="0"/>
              <w:left w:val="single" w:color="000000" w:sz="2" w:space="0"/>
              <w:bottom w:val="single" w:color="000000" w:sz="2" w:space="0"/>
              <w:right w:val="single" w:color="000000" w:sz="2" w:space="0"/>
            </w:tcBorders>
            <w:vAlign w:val="top"/>
          </w:tcPr>
          <w:p w14:paraId="2B6F3E8B">
            <w:pPr>
              <w:rPr>
                <w:rFonts w:ascii="Arial"/>
                <w:sz w:val="21"/>
              </w:rPr>
            </w:pPr>
          </w:p>
        </w:tc>
        <w:tc>
          <w:tcPr>
            <w:tcW w:w="2201" w:type="dxa"/>
            <w:tcBorders>
              <w:top w:val="single" w:color="000000" w:sz="2" w:space="0"/>
              <w:left w:val="single" w:color="000000" w:sz="2" w:space="0"/>
              <w:bottom w:val="single" w:color="000000" w:sz="2" w:space="0"/>
              <w:right w:val="single" w:color="000000" w:sz="2" w:space="0"/>
            </w:tcBorders>
            <w:vAlign w:val="top"/>
          </w:tcPr>
          <w:p w14:paraId="17C3BCE4">
            <w:pPr>
              <w:spacing w:before="102" w:line="220" w:lineRule="auto"/>
              <w:ind w:left="870"/>
              <w:rPr>
                <w:rFonts w:hint="default" w:ascii="宋体" w:hAnsi="宋体" w:eastAsia="宋体" w:cs="宋体"/>
                <w:spacing w:val="-3"/>
                <w:sz w:val="22"/>
                <w:szCs w:val="22"/>
                <w:lang w:val="en-US" w:eastAsia="zh-CN"/>
              </w:rPr>
            </w:pPr>
            <w:r>
              <w:rPr>
                <w:rFonts w:hint="eastAsia" w:ascii="宋体" w:hAnsi="宋体" w:cs="宋体"/>
                <w:spacing w:val="-3"/>
                <w:sz w:val="22"/>
                <w:szCs w:val="22"/>
                <w:lang w:val="en-US" w:eastAsia="zh-CN"/>
              </w:rPr>
              <w:t>内陆滩涂</w:t>
            </w:r>
          </w:p>
        </w:tc>
        <w:tc>
          <w:tcPr>
            <w:tcW w:w="2580" w:type="dxa"/>
            <w:tcBorders>
              <w:top w:val="single" w:color="000000" w:sz="2" w:space="0"/>
              <w:left w:val="single" w:color="000000" w:sz="2" w:space="0"/>
              <w:bottom w:val="single" w:color="000000" w:sz="2" w:space="0"/>
              <w:right w:val="single" w:color="000000" w:sz="2" w:space="0"/>
            </w:tcBorders>
            <w:vAlign w:val="top"/>
          </w:tcPr>
          <w:p w14:paraId="19367C90">
            <w:pPr>
              <w:pStyle w:val="33"/>
              <w:spacing w:before="140" w:line="189" w:lineRule="auto"/>
              <w:ind w:left="1232"/>
              <w:rPr>
                <w:rFonts w:hint="default" w:eastAsia="宋体"/>
                <w:lang w:val="en-US" w:eastAsia="zh-CN"/>
              </w:rPr>
            </w:pPr>
            <w:r>
              <w:rPr>
                <w:rFonts w:hint="eastAsia" w:eastAsia="宋体"/>
                <w:lang w:val="en-US" w:eastAsia="zh-CN"/>
              </w:rPr>
              <w:t>2.5535</w:t>
            </w:r>
          </w:p>
        </w:tc>
      </w:tr>
      <w:tr w14:paraId="00703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2755" w:type="dxa"/>
            <w:vMerge w:val="continue"/>
            <w:tcBorders>
              <w:top w:val="single" w:color="000000" w:sz="2" w:space="0"/>
              <w:left w:val="single" w:color="000000" w:sz="2" w:space="0"/>
              <w:bottom w:val="single" w:color="000000" w:sz="2" w:space="0"/>
              <w:right w:val="single" w:color="000000" w:sz="2" w:space="0"/>
            </w:tcBorders>
            <w:vAlign w:val="top"/>
          </w:tcPr>
          <w:p w14:paraId="78CEF5CA">
            <w:pPr>
              <w:rPr>
                <w:rFonts w:ascii="Arial"/>
                <w:sz w:val="21"/>
              </w:rPr>
            </w:pPr>
          </w:p>
        </w:tc>
        <w:tc>
          <w:tcPr>
            <w:tcW w:w="2081" w:type="dxa"/>
            <w:vMerge w:val="continue"/>
            <w:tcBorders>
              <w:top w:val="single" w:color="000000" w:sz="2" w:space="0"/>
              <w:left w:val="single" w:color="000000" w:sz="2" w:space="0"/>
              <w:bottom w:val="single" w:color="000000" w:sz="2" w:space="0"/>
              <w:right w:val="single" w:color="000000" w:sz="2" w:space="0"/>
            </w:tcBorders>
            <w:vAlign w:val="top"/>
          </w:tcPr>
          <w:p w14:paraId="0DB27874">
            <w:pPr>
              <w:rPr>
                <w:rFonts w:ascii="Arial"/>
                <w:sz w:val="21"/>
              </w:rPr>
            </w:pPr>
          </w:p>
        </w:tc>
        <w:tc>
          <w:tcPr>
            <w:tcW w:w="2201" w:type="dxa"/>
            <w:tcBorders>
              <w:top w:val="single" w:color="000000" w:sz="2" w:space="0"/>
              <w:left w:val="single" w:color="000000" w:sz="2" w:space="0"/>
              <w:bottom w:val="single" w:color="000000" w:sz="2" w:space="0"/>
              <w:right w:val="single" w:color="000000" w:sz="2" w:space="0"/>
            </w:tcBorders>
            <w:vAlign w:val="top"/>
          </w:tcPr>
          <w:p w14:paraId="74270B93">
            <w:pPr>
              <w:spacing w:before="108" w:line="222" w:lineRule="auto"/>
              <w:ind w:left="1096"/>
              <w:rPr>
                <w:rFonts w:ascii="宋体" w:hAnsi="宋体" w:eastAsia="宋体" w:cs="宋体"/>
                <w:sz w:val="22"/>
                <w:szCs w:val="22"/>
              </w:rPr>
            </w:pPr>
            <w:r>
              <w:rPr>
                <w:rFonts w:ascii="宋体" w:hAnsi="宋体" w:eastAsia="宋体" w:cs="宋体"/>
                <w:spacing w:val="-7"/>
                <w:sz w:val="22"/>
                <w:szCs w:val="22"/>
              </w:rPr>
              <w:t>小计</w:t>
            </w:r>
          </w:p>
        </w:tc>
        <w:tc>
          <w:tcPr>
            <w:tcW w:w="2580" w:type="dxa"/>
            <w:tcBorders>
              <w:top w:val="single" w:color="000000" w:sz="2" w:space="0"/>
              <w:left w:val="single" w:color="000000" w:sz="2" w:space="0"/>
              <w:bottom w:val="single" w:color="000000" w:sz="2" w:space="0"/>
              <w:right w:val="single" w:color="000000" w:sz="2" w:space="0"/>
            </w:tcBorders>
            <w:vAlign w:val="top"/>
          </w:tcPr>
          <w:p w14:paraId="5E431B6E">
            <w:pPr>
              <w:pStyle w:val="33"/>
              <w:spacing w:before="146" w:line="189" w:lineRule="auto"/>
              <w:ind w:left="1195"/>
              <w:rPr>
                <w:rFonts w:hint="default" w:eastAsia="宋体"/>
                <w:lang w:val="en-US" w:eastAsia="zh-CN"/>
              </w:rPr>
            </w:pPr>
            <w:r>
              <w:rPr>
                <w:rFonts w:hint="eastAsia" w:eastAsia="宋体"/>
                <w:lang w:val="en-US" w:eastAsia="zh-CN"/>
              </w:rPr>
              <w:t>329.6594</w:t>
            </w:r>
          </w:p>
        </w:tc>
      </w:tr>
      <w:tr w14:paraId="603BF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037" w:type="dxa"/>
            <w:gridSpan w:val="3"/>
            <w:tcBorders>
              <w:top w:val="single" w:color="000000" w:sz="2" w:space="0"/>
              <w:left w:val="single" w:color="000000" w:sz="2" w:space="0"/>
              <w:bottom w:val="single" w:color="000000" w:sz="2" w:space="0"/>
              <w:right w:val="single" w:color="000000" w:sz="2" w:space="0"/>
            </w:tcBorders>
            <w:vAlign w:val="top"/>
          </w:tcPr>
          <w:p w14:paraId="555423C7">
            <w:pPr>
              <w:spacing w:before="108" w:line="222" w:lineRule="auto"/>
              <w:ind w:left="1096"/>
              <w:rPr>
                <w:rFonts w:ascii="宋体" w:hAnsi="宋体" w:eastAsia="宋体" w:cs="宋体"/>
                <w:spacing w:val="-7"/>
                <w:sz w:val="22"/>
                <w:szCs w:val="22"/>
              </w:rPr>
            </w:pPr>
            <w:r>
              <w:rPr>
                <w:rFonts w:hint="eastAsia" w:ascii="Arial"/>
                <w:sz w:val="21"/>
                <w:lang w:val="en-US" w:eastAsia="zh-CN"/>
              </w:rPr>
              <w:t>合计</w:t>
            </w:r>
          </w:p>
        </w:tc>
        <w:tc>
          <w:tcPr>
            <w:tcW w:w="2580" w:type="dxa"/>
            <w:tcBorders>
              <w:top w:val="single" w:color="000000" w:sz="2" w:space="0"/>
              <w:left w:val="single" w:color="000000" w:sz="2" w:space="0"/>
              <w:bottom w:val="single" w:color="000000" w:sz="2" w:space="0"/>
              <w:right w:val="single" w:color="000000" w:sz="2" w:space="0"/>
            </w:tcBorders>
            <w:vAlign w:val="top"/>
          </w:tcPr>
          <w:p w14:paraId="2DAD3E47">
            <w:pPr>
              <w:pStyle w:val="33"/>
              <w:spacing w:before="146" w:line="189" w:lineRule="auto"/>
              <w:ind w:left="1195"/>
              <w:rPr>
                <w:rFonts w:hint="eastAsia" w:eastAsia="宋体"/>
                <w:lang w:val="en-US" w:eastAsia="zh-CN"/>
              </w:rPr>
            </w:pPr>
            <w:r>
              <w:rPr>
                <w:rFonts w:hint="eastAsia" w:eastAsia="宋体"/>
                <w:lang w:val="en-US" w:eastAsia="zh-CN"/>
              </w:rPr>
              <w:t>554.4485</w:t>
            </w:r>
          </w:p>
        </w:tc>
      </w:tr>
    </w:tbl>
    <w:p w14:paraId="7A706390">
      <w:pPr>
        <w:pStyle w:val="35"/>
        <w:jc w:val="both"/>
      </w:pPr>
    </w:p>
    <w:p w14:paraId="1FC6864C">
      <w:pPr>
        <w:pStyle w:val="4"/>
        <w:numPr>
          <w:ilvl w:val="0"/>
          <w:numId w:val="0"/>
        </w:numPr>
        <w:ind w:leftChars="200"/>
        <w:jc w:val="both"/>
        <w:rPr>
          <w:b w:val="0"/>
        </w:rPr>
      </w:pPr>
      <w:bookmarkStart w:id="294" w:name="_Toc7716"/>
      <w:bookmarkStart w:id="295" w:name="_Toc18466"/>
      <w:bookmarkStart w:id="296" w:name="_Toc19650"/>
      <w:bookmarkStart w:id="297" w:name="_Toc1778"/>
      <w:bookmarkStart w:id="298" w:name="_Toc18230"/>
      <w:r>
        <w:rPr>
          <w:rFonts w:hint="eastAsia"/>
          <w:lang w:val="en-US" w:eastAsia="zh-CN"/>
        </w:rPr>
        <w:t xml:space="preserve">3.4.2 </w:t>
      </w:r>
      <w:r>
        <w:t>饮用水水源地二级保护区限养区</w:t>
      </w:r>
      <w:bookmarkEnd w:id="294"/>
      <w:bookmarkEnd w:id="295"/>
      <w:bookmarkEnd w:id="296"/>
      <w:bookmarkEnd w:id="297"/>
      <w:bookmarkEnd w:id="298"/>
    </w:p>
    <w:p w14:paraId="339A43A1">
      <w:pPr>
        <w:pStyle w:val="11"/>
        <w:spacing w:line="360" w:lineRule="auto"/>
        <w:ind w:leftChars="0" w:firstLine="560" w:firstLineChars="200"/>
        <w:jc w:val="both"/>
        <w:rPr>
          <w:rFonts w:hint="eastAsia"/>
          <w:lang w:val="en-US" w:eastAsia="zh-CN"/>
        </w:rPr>
      </w:pPr>
      <w:r>
        <w:rPr>
          <w:rFonts w:ascii="Times New Roman" w:hAnsi="Times New Roman" w:eastAsia="宋体" w:cs="Times New Roman"/>
          <w:sz w:val="28"/>
          <w:szCs w:val="28"/>
        </w:rPr>
        <w:t>根据伊春市饮用水源地数据库，</w:t>
      </w:r>
      <w:r>
        <w:rPr>
          <w:rFonts w:hint="eastAsia" w:cs="Times New Roman"/>
          <w:sz w:val="28"/>
          <w:szCs w:val="28"/>
          <w:lang w:eastAsia="zh-CN"/>
        </w:rPr>
        <w:t>友好区</w:t>
      </w:r>
      <w:r>
        <w:rPr>
          <w:rFonts w:ascii="Times New Roman" w:hAnsi="Times New Roman" w:eastAsia="宋体" w:cs="Times New Roman"/>
          <w:sz w:val="28"/>
          <w:szCs w:val="28"/>
        </w:rPr>
        <w:t>饮用水水源地</w:t>
      </w:r>
      <w:r>
        <w:rPr>
          <w:rFonts w:hint="eastAsia" w:cs="Times New Roman"/>
          <w:sz w:val="28"/>
          <w:szCs w:val="28"/>
          <w:lang w:val="en-US" w:eastAsia="zh-CN"/>
        </w:rPr>
        <w:t>二级</w:t>
      </w:r>
      <w:r>
        <w:rPr>
          <w:rFonts w:ascii="Times New Roman" w:hAnsi="Times New Roman" w:eastAsia="宋体" w:cs="Times New Roman"/>
          <w:sz w:val="28"/>
          <w:szCs w:val="28"/>
        </w:rPr>
        <w:t>保护区</w:t>
      </w:r>
      <w:r>
        <w:rPr>
          <w:rFonts w:hint="eastAsia" w:cs="Times New Roman"/>
          <w:sz w:val="28"/>
          <w:szCs w:val="28"/>
          <w:lang w:val="en-US" w:eastAsia="zh-CN"/>
        </w:rPr>
        <w:t>面积为公顷。</w:t>
      </w:r>
      <w:r>
        <w:rPr>
          <w:rFonts w:hint="eastAsia" w:cs="Times New Roman"/>
          <w:sz w:val="28"/>
          <w:szCs w:val="28"/>
          <w:lang w:eastAsia="zh-CN"/>
        </w:rPr>
        <w:t>友好区</w:t>
      </w:r>
      <w:r>
        <w:rPr>
          <w:rFonts w:ascii="Times New Roman" w:hAnsi="Times New Roman" w:eastAsia="宋体" w:cs="Times New Roman"/>
          <w:sz w:val="28"/>
          <w:szCs w:val="28"/>
        </w:rPr>
        <w:t>饮用水水源地二级保护区</w:t>
      </w:r>
      <w:r>
        <w:rPr>
          <w:rFonts w:hint="eastAsia" w:cs="Times New Roman"/>
          <w:color w:val="auto"/>
          <w:sz w:val="28"/>
          <w:szCs w:val="28"/>
          <w:lang w:val="en-US" w:eastAsia="zh-CN"/>
        </w:rPr>
        <w:t>共三</w:t>
      </w:r>
      <w:r>
        <w:rPr>
          <w:rFonts w:ascii="Times New Roman" w:hAnsi="Times New Roman" w:eastAsia="宋体" w:cs="Times New Roman"/>
          <w:sz w:val="28"/>
          <w:szCs w:val="28"/>
        </w:rPr>
        <w:t>处，分别为</w:t>
      </w:r>
      <w:r>
        <w:rPr>
          <w:rFonts w:hint="eastAsia" w:ascii="Times New Roman" w:hAnsi="Times New Roman" w:eastAsia="宋体" w:cs="Times New Roman"/>
          <w:sz w:val="28"/>
          <w:szCs w:val="28"/>
        </w:rPr>
        <w:t>友好区第二饮用水水源地</w:t>
      </w:r>
      <w:r>
        <w:rPr>
          <w:rFonts w:hint="eastAsia" w:cs="Times New Roman"/>
          <w:sz w:val="28"/>
          <w:szCs w:val="28"/>
          <w:lang w:eastAsia="zh-CN"/>
        </w:rPr>
        <w:t>、</w:t>
      </w:r>
      <w:r>
        <w:rPr>
          <w:rFonts w:hint="eastAsia" w:ascii="Times New Roman" w:hAnsi="Times New Roman" w:eastAsia="宋体" w:cs="Times New Roman"/>
          <w:sz w:val="28"/>
          <w:szCs w:val="28"/>
          <w:lang w:val="en-US" w:eastAsia="zh-CN"/>
        </w:rPr>
        <w:t>伊春市友好区加工厂水源</w:t>
      </w:r>
      <w:r>
        <w:rPr>
          <w:rFonts w:hint="eastAsia" w:cs="Times New Roman"/>
          <w:sz w:val="28"/>
          <w:szCs w:val="28"/>
          <w:lang w:val="en-US" w:eastAsia="zh-CN"/>
        </w:rPr>
        <w:t>、伊春中心城区伊春河水源</w:t>
      </w:r>
      <w:r>
        <w:rPr>
          <w:rFonts w:ascii="Times New Roman" w:hAnsi="Times New Roman" w:eastAsia="宋体" w:cs="Times New Roman"/>
          <w:sz w:val="28"/>
          <w:szCs w:val="28"/>
        </w:rPr>
        <w:t>。</w:t>
      </w:r>
    </w:p>
    <w:p w14:paraId="68B21DFA">
      <w:pPr>
        <w:pStyle w:val="11"/>
        <w:spacing w:line="360" w:lineRule="auto"/>
        <w:ind w:leftChars="0" w:firstLine="560" w:firstLineChars="200"/>
        <w:jc w:val="both"/>
        <w:rPr>
          <w:rFonts w:ascii="Times New Roman" w:hAnsi="Times New Roman" w:eastAsia="宋体" w:cs="Times New Roman"/>
          <w:sz w:val="28"/>
          <w:szCs w:val="28"/>
        </w:rPr>
      </w:pPr>
      <w:r>
        <w:rPr>
          <w:rFonts w:hint="eastAsia" w:cs="Times New Roman"/>
          <w:sz w:val="28"/>
          <w:szCs w:val="28"/>
          <w:lang w:val="en-US" w:eastAsia="zh-CN"/>
        </w:rPr>
        <w:t>1.</w:t>
      </w:r>
      <w:r>
        <w:rPr>
          <w:rFonts w:hint="eastAsia" w:ascii="Times New Roman" w:hAnsi="Times New Roman" w:eastAsia="宋体" w:cs="Times New Roman"/>
          <w:sz w:val="28"/>
          <w:szCs w:val="28"/>
        </w:rPr>
        <w:t>友好区第二饮用水水源地</w:t>
      </w:r>
      <w:r>
        <w:rPr>
          <w:rFonts w:hint="eastAsia" w:cs="Times New Roman"/>
          <w:sz w:val="28"/>
          <w:szCs w:val="28"/>
          <w:lang w:eastAsia="zh-CN"/>
        </w:rPr>
        <w:t>：</w:t>
      </w:r>
      <w:r>
        <w:rPr>
          <w:rFonts w:ascii="Times New Roman" w:hAnsi="Times New Roman" w:eastAsia="宋体" w:cs="Times New Roman"/>
          <w:sz w:val="28"/>
          <w:szCs w:val="28"/>
        </w:rPr>
        <w:t>二级保护区范围</w:t>
      </w:r>
      <w:r>
        <w:rPr>
          <w:rFonts w:hint="eastAsia" w:cs="Times New Roman"/>
          <w:sz w:val="28"/>
          <w:szCs w:val="28"/>
          <w:lang w:eastAsia="zh-CN"/>
        </w:rPr>
        <w:t>北侧以1号水源井、2号水源井、3号水源井的一级保护区外切多边形为界，向外径句距离2000米的范围，东北侧以流域边界为界，东侧以一级保护区为界，向外径向距离500米，南侧以双子河北岸为界，二级保护区面积为8.199平方公里</w:t>
      </w:r>
      <w:r>
        <w:rPr>
          <w:rFonts w:ascii="Times New Roman" w:hAnsi="Times New Roman" w:eastAsia="宋体" w:cs="Times New Roman"/>
          <w:sz w:val="28"/>
          <w:szCs w:val="28"/>
        </w:rPr>
        <w:t>。</w:t>
      </w:r>
    </w:p>
    <w:p w14:paraId="46C7B51F">
      <w:pPr>
        <w:pStyle w:val="11"/>
        <w:spacing w:line="360" w:lineRule="auto"/>
        <w:ind w:leftChars="0" w:firstLine="560" w:firstLineChars="200"/>
        <w:jc w:val="both"/>
        <w:rPr>
          <w:rFonts w:hint="eastAsia" w:cs="Times New Roman"/>
          <w:sz w:val="28"/>
          <w:szCs w:val="28"/>
          <w:lang w:val="en-US" w:eastAsia="zh-CN"/>
        </w:rPr>
      </w:pPr>
      <w:r>
        <w:rPr>
          <w:rFonts w:hint="eastAsia" w:cs="Times New Roman"/>
          <w:sz w:val="28"/>
          <w:szCs w:val="28"/>
          <w:lang w:val="en-US" w:eastAsia="zh-CN"/>
        </w:rPr>
        <w:t>2.</w:t>
      </w:r>
      <w:r>
        <w:rPr>
          <w:rFonts w:hint="eastAsia" w:ascii="Times New Roman" w:hAnsi="Times New Roman" w:eastAsia="宋体" w:cs="Times New Roman"/>
          <w:sz w:val="28"/>
          <w:szCs w:val="28"/>
          <w:lang w:val="en-US" w:eastAsia="zh-CN"/>
        </w:rPr>
        <w:t>伊春市友好区加工厂水源</w:t>
      </w:r>
      <w:r>
        <w:rPr>
          <w:rFonts w:hint="eastAsia" w:cs="Times New Roman"/>
          <w:sz w:val="28"/>
          <w:szCs w:val="28"/>
          <w:lang w:val="en-US" w:eastAsia="zh-CN"/>
        </w:rPr>
        <w:t>：二级保护区范围长度为一级保护区上游边界上溯9.1公里至一级保护区下游边界下延200米之间，宽度为防洪堤内的水域，和与该水域等长，宽度分别为友好城区内双子河北岸道路至南岸双子河流域分水岭之间，和友好城区外双子河流域两岸分水岭之间的陆域，面积为128.3610平方公里。</w:t>
      </w:r>
    </w:p>
    <w:p w14:paraId="41936E9E">
      <w:pPr>
        <w:pStyle w:val="11"/>
        <w:spacing w:line="360" w:lineRule="auto"/>
        <w:ind w:leftChars="0" w:firstLine="560" w:firstLineChars="200"/>
        <w:jc w:val="both"/>
        <w:rPr>
          <w:rFonts w:hint="default" w:cs="Times New Roman"/>
          <w:sz w:val="28"/>
          <w:szCs w:val="28"/>
          <w:lang w:val="en-US" w:eastAsia="zh-CN"/>
        </w:rPr>
      </w:pPr>
      <w:r>
        <w:rPr>
          <w:rFonts w:hint="eastAsia" w:cs="Times New Roman"/>
          <w:sz w:val="28"/>
          <w:szCs w:val="28"/>
          <w:lang w:val="en-US" w:eastAsia="zh-CN"/>
        </w:rPr>
        <w:t>3.伊春中心城区伊春河水源：二级保护区陆域范围长度与水域等长，宽度为伊春河北岸山脊线至南岸纵深1000米范围内(南侧边界具体为:从万猪山起点沿工农路至哈伊高速公路至山珍路至扶兴路至青山中大街至通河路至朝阳街至S204公路液化气站终点)的区域，面积为91.8000平方公里。</w:t>
      </w:r>
    </w:p>
    <w:p w14:paraId="68974E2E">
      <w:pPr>
        <w:pStyle w:val="11"/>
        <w:spacing w:line="360" w:lineRule="auto"/>
        <w:ind w:leftChars="0" w:firstLine="560" w:firstLineChars="200"/>
        <w:jc w:val="both"/>
      </w:pPr>
      <w:r>
        <w:rPr>
          <w:rFonts w:ascii="Times New Roman" w:hAnsi="Times New Roman" w:eastAsia="宋体" w:cs="Times New Roman"/>
          <w:sz w:val="28"/>
          <w:szCs w:val="28"/>
        </w:rPr>
        <w:t>将</w:t>
      </w:r>
      <w:r>
        <w:rPr>
          <w:rFonts w:hint="eastAsia" w:cs="Times New Roman"/>
          <w:sz w:val="28"/>
          <w:szCs w:val="28"/>
          <w:lang w:eastAsia="zh-CN"/>
        </w:rPr>
        <w:t>友好区</w:t>
      </w:r>
      <w:r>
        <w:rPr>
          <w:rFonts w:ascii="Times New Roman" w:hAnsi="Times New Roman" w:eastAsia="宋体" w:cs="Times New Roman"/>
          <w:sz w:val="28"/>
          <w:szCs w:val="28"/>
        </w:rPr>
        <w:t>二级饮用水水源地保护区范围内的水域滩涂划为</w:t>
      </w:r>
      <w:r>
        <w:rPr>
          <w:rFonts w:hint="eastAsia" w:cs="Times New Roman"/>
          <w:sz w:val="28"/>
          <w:szCs w:val="28"/>
          <w:lang w:val="en-US" w:eastAsia="zh-CN"/>
        </w:rPr>
        <w:t>限养</w:t>
      </w:r>
      <w:r>
        <w:rPr>
          <w:rFonts w:ascii="Times New Roman" w:hAnsi="Times New Roman" w:eastAsia="宋体" w:cs="Times New Roman"/>
          <w:sz w:val="28"/>
          <w:szCs w:val="28"/>
        </w:rPr>
        <w:t>区，面积为</w:t>
      </w:r>
      <w:r>
        <w:rPr>
          <w:rFonts w:hint="eastAsia" w:ascii="Times New Roman" w:hAnsi="Times New Roman" w:eastAsia="宋体" w:cs="Times New Roman"/>
          <w:sz w:val="28"/>
          <w:szCs w:val="28"/>
          <w:lang w:val="en-US" w:eastAsia="zh-CN"/>
        </w:rPr>
        <w:t>212.8193</w:t>
      </w:r>
      <w:r>
        <w:rPr>
          <w:rFonts w:ascii="Times New Roman" w:hAnsi="Times New Roman" w:eastAsia="宋体" w:cs="Times New Roman"/>
          <w:sz w:val="28"/>
          <w:szCs w:val="28"/>
        </w:rPr>
        <w:t>公顷。</w:t>
      </w:r>
    </w:p>
    <w:p w14:paraId="6F2BB953">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20</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rPr>
        <w:t>饮用水水源地二级保护区内水域滩涂</w:t>
      </w:r>
      <w:r>
        <w:rPr>
          <w:rFonts w:hint="eastAsia" w:ascii="黑体" w:hAnsi="黑体" w:eastAsia="黑体" w:cs="黑体"/>
          <w:lang w:val="en-US" w:eastAsia="zh-CN"/>
        </w:rPr>
        <w:t>限养</w:t>
      </w:r>
      <w:r>
        <w:rPr>
          <w:rFonts w:hint="eastAsia" w:ascii="黑体" w:hAnsi="黑体" w:eastAsia="黑体" w:cs="黑体"/>
        </w:rPr>
        <w:t>区</w:t>
      </w:r>
      <w:r>
        <w:rPr>
          <w:rFonts w:hint="eastAsia" w:ascii="黑体" w:hAnsi="黑体" w:eastAsia="黑体" w:cs="黑体"/>
          <w:lang w:val="en-US" w:eastAsia="zh-CN"/>
        </w:rPr>
        <w:t>面积</w:t>
      </w:r>
      <w:r>
        <w:rPr>
          <w:rFonts w:hint="eastAsia" w:ascii="黑体" w:hAnsi="黑体" w:eastAsia="黑体" w:cs="黑体"/>
        </w:rPr>
        <w:t>统计表</w:t>
      </w:r>
    </w:p>
    <w:tbl>
      <w:tblPr>
        <w:tblStyle w:val="32"/>
        <w:tblW w:w="8529" w:type="dxa"/>
        <w:tblInd w:w="2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9"/>
        <w:gridCol w:w="2583"/>
        <w:gridCol w:w="3067"/>
      </w:tblGrid>
      <w:tr w14:paraId="2AC75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879" w:type="dxa"/>
            <w:tcBorders>
              <w:top w:val="single" w:color="000000" w:sz="10" w:space="0"/>
              <w:left w:val="single" w:color="000000" w:sz="10" w:space="0"/>
            </w:tcBorders>
            <w:vAlign w:val="top"/>
          </w:tcPr>
          <w:p w14:paraId="7F01D0A2">
            <w:pPr>
              <w:spacing w:before="92" w:line="220" w:lineRule="auto"/>
              <w:ind w:left="1213"/>
              <w:rPr>
                <w:rFonts w:ascii="宋体" w:hAnsi="宋体" w:eastAsia="宋体" w:cs="宋体"/>
                <w:sz w:val="22"/>
                <w:szCs w:val="22"/>
              </w:rPr>
            </w:pPr>
            <w:r>
              <w:rPr>
                <w:rFonts w:ascii="宋体" w:hAnsi="宋体" w:eastAsia="宋体" w:cs="宋体"/>
                <w:spacing w:val="-4"/>
                <w:sz w:val="22"/>
                <w:szCs w:val="22"/>
              </w:rPr>
              <w:t>类型</w:t>
            </w:r>
          </w:p>
        </w:tc>
        <w:tc>
          <w:tcPr>
            <w:tcW w:w="2583" w:type="dxa"/>
            <w:tcBorders>
              <w:top w:val="single" w:color="000000" w:sz="10" w:space="0"/>
            </w:tcBorders>
            <w:vAlign w:val="top"/>
          </w:tcPr>
          <w:p w14:paraId="77AF2E3D">
            <w:pPr>
              <w:spacing w:before="92" w:line="220" w:lineRule="auto"/>
              <w:ind w:left="1077"/>
              <w:rPr>
                <w:rFonts w:ascii="宋体" w:hAnsi="宋体" w:eastAsia="宋体" w:cs="宋体"/>
                <w:sz w:val="22"/>
                <w:szCs w:val="22"/>
              </w:rPr>
            </w:pPr>
            <w:r>
              <w:rPr>
                <w:rFonts w:ascii="宋体" w:hAnsi="宋体" w:eastAsia="宋体" w:cs="宋体"/>
                <w:spacing w:val="-4"/>
                <w:sz w:val="22"/>
                <w:szCs w:val="22"/>
              </w:rPr>
              <w:t>地类</w:t>
            </w:r>
          </w:p>
        </w:tc>
        <w:tc>
          <w:tcPr>
            <w:tcW w:w="3067" w:type="dxa"/>
            <w:tcBorders>
              <w:top w:val="single" w:color="000000" w:sz="10" w:space="0"/>
              <w:right w:val="single" w:color="000000" w:sz="10" w:space="0"/>
            </w:tcBorders>
            <w:vAlign w:val="top"/>
          </w:tcPr>
          <w:p w14:paraId="367FE33A">
            <w:pPr>
              <w:spacing w:before="92" w:line="221" w:lineRule="auto"/>
              <w:ind w:left="881"/>
              <w:rPr>
                <w:rFonts w:ascii="宋体" w:hAnsi="宋体" w:eastAsia="宋体" w:cs="宋体"/>
                <w:sz w:val="22"/>
                <w:szCs w:val="22"/>
              </w:rPr>
            </w:pPr>
            <w:r>
              <w:rPr>
                <w:rFonts w:ascii="宋体" w:hAnsi="宋体" w:eastAsia="宋体" w:cs="宋体"/>
                <w:spacing w:val="-2"/>
                <w:sz w:val="22"/>
                <w:szCs w:val="22"/>
              </w:rPr>
              <w:t>面积（公顷）</w:t>
            </w:r>
          </w:p>
        </w:tc>
      </w:tr>
      <w:tr w14:paraId="3F406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restart"/>
            <w:tcBorders>
              <w:left w:val="single" w:color="000000" w:sz="10" w:space="0"/>
              <w:bottom w:val="nil"/>
            </w:tcBorders>
            <w:vAlign w:val="top"/>
          </w:tcPr>
          <w:p w14:paraId="5C3B3CD3">
            <w:pPr>
              <w:spacing w:line="427" w:lineRule="auto"/>
              <w:rPr>
                <w:rFonts w:ascii="Arial"/>
                <w:sz w:val="21"/>
              </w:rPr>
            </w:pPr>
          </w:p>
          <w:p w14:paraId="1A40E326">
            <w:pPr>
              <w:spacing w:before="71" w:line="220" w:lineRule="auto"/>
              <w:ind w:left="445"/>
              <w:rPr>
                <w:rFonts w:ascii="宋体" w:hAnsi="宋体" w:eastAsia="宋体" w:cs="宋体"/>
                <w:spacing w:val="-1"/>
                <w:sz w:val="22"/>
                <w:szCs w:val="22"/>
              </w:rPr>
            </w:pPr>
          </w:p>
          <w:p w14:paraId="39D5B9CE">
            <w:pPr>
              <w:spacing w:before="71" w:line="220" w:lineRule="auto"/>
              <w:ind w:left="445"/>
              <w:rPr>
                <w:rFonts w:ascii="宋体" w:hAnsi="宋体" w:eastAsia="宋体" w:cs="宋体"/>
                <w:sz w:val="22"/>
                <w:szCs w:val="22"/>
              </w:rPr>
            </w:pPr>
            <w:r>
              <w:rPr>
                <w:rFonts w:ascii="宋体" w:hAnsi="宋体" w:eastAsia="宋体" w:cs="宋体"/>
                <w:spacing w:val="-1"/>
                <w:sz w:val="22"/>
                <w:szCs w:val="22"/>
              </w:rPr>
              <w:t>饮用水源</w:t>
            </w:r>
            <w:r>
              <w:rPr>
                <w:rFonts w:hint="eastAsia" w:ascii="宋体" w:hAnsi="宋体" w:cs="宋体"/>
                <w:spacing w:val="-1"/>
                <w:sz w:val="22"/>
                <w:szCs w:val="22"/>
                <w:lang w:val="en-US" w:eastAsia="zh-CN"/>
              </w:rPr>
              <w:t>二</w:t>
            </w:r>
            <w:r>
              <w:rPr>
                <w:rFonts w:ascii="宋体" w:hAnsi="宋体" w:eastAsia="宋体" w:cs="宋体"/>
                <w:spacing w:val="-1"/>
                <w:sz w:val="22"/>
                <w:szCs w:val="22"/>
              </w:rPr>
              <w:t>级保护区</w:t>
            </w:r>
          </w:p>
        </w:tc>
        <w:tc>
          <w:tcPr>
            <w:tcW w:w="2583" w:type="dxa"/>
            <w:vAlign w:val="top"/>
          </w:tcPr>
          <w:p w14:paraId="447F95DA">
            <w:pPr>
              <w:spacing w:before="93" w:line="220" w:lineRule="auto"/>
              <w:ind w:left="856"/>
              <w:rPr>
                <w:rFonts w:ascii="宋体" w:hAnsi="宋体" w:eastAsia="宋体" w:cs="宋体"/>
                <w:sz w:val="22"/>
                <w:szCs w:val="22"/>
              </w:rPr>
            </w:pPr>
            <w:r>
              <w:rPr>
                <w:rFonts w:ascii="宋体" w:hAnsi="宋体" w:eastAsia="宋体" w:cs="宋体"/>
                <w:spacing w:val="-2"/>
                <w:sz w:val="22"/>
                <w:szCs w:val="22"/>
              </w:rPr>
              <w:t>坑塘水面</w:t>
            </w:r>
          </w:p>
        </w:tc>
        <w:tc>
          <w:tcPr>
            <w:tcW w:w="3067" w:type="dxa"/>
            <w:tcBorders>
              <w:right w:val="single" w:color="000000" w:sz="10" w:space="0"/>
            </w:tcBorders>
            <w:vAlign w:val="top"/>
          </w:tcPr>
          <w:p w14:paraId="63A3F13C">
            <w:pPr>
              <w:pStyle w:val="33"/>
              <w:spacing w:before="131" w:line="189" w:lineRule="auto"/>
              <w:ind w:left="1237"/>
              <w:rPr>
                <w:rFonts w:hint="default" w:eastAsia="宋体"/>
                <w:lang w:val="en-US" w:eastAsia="zh-CN"/>
              </w:rPr>
            </w:pPr>
            <w:r>
              <w:rPr>
                <w:rFonts w:hint="eastAsia" w:eastAsia="宋体"/>
                <w:lang w:val="en-US" w:eastAsia="zh-CN"/>
              </w:rPr>
              <w:t>28.8735</w:t>
            </w:r>
          </w:p>
        </w:tc>
      </w:tr>
      <w:tr w14:paraId="5A296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continue"/>
            <w:tcBorders>
              <w:top w:val="nil"/>
              <w:left w:val="single" w:color="000000" w:sz="10" w:space="0"/>
              <w:bottom w:val="nil"/>
            </w:tcBorders>
            <w:vAlign w:val="top"/>
          </w:tcPr>
          <w:p w14:paraId="5485E878">
            <w:pPr>
              <w:rPr>
                <w:rFonts w:ascii="Arial"/>
                <w:sz w:val="21"/>
              </w:rPr>
            </w:pPr>
          </w:p>
        </w:tc>
        <w:tc>
          <w:tcPr>
            <w:tcW w:w="2583" w:type="dxa"/>
            <w:vAlign w:val="top"/>
          </w:tcPr>
          <w:p w14:paraId="37E21C53">
            <w:pPr>
              <w:spacing w:before="100" w:line="220" w:lineRule="auto"/>
              <w:ind w:left="857"/>
              <w:rPr>
                <w:rFonts w:ascii="宋体" w:hAnsi="宋体" w:eastAsia="宋体" w:cs="宋体"/>
                <w:sz w:val="22"/>
                <w:szCs w:val="22"/>
              </w:rPr>
            </w:pPr>
            <w:r>
              <w:rPr>
                <w:rFonts w:ascii="宋体" w:hAnsi="宋体" w:eastAsia="宋体" w:cs="宋体"/>
                <w:spacing w:val="-3"/>
                <w:sz w:val="22"/>
                <w:szCs w:val="22"/>
              </w:rPr>
              <w:t>养殖坑塘</w:t>
            </w:r>
          </w:p>
        </w:tc>
        <w:tc>
          <w:tcPr>
            <w:tcW w:w="3067" w:type="dxa"/>
            <w:tcBorders>
              <w:right w:val="single" w:color="000000" w:sz="10" w:space="0"/>
            </w:tcBorders>
            <w:vAlign w:val="top"/>
          </w:tcPr>
          <w:p w14:paraId="309B6A44">
            <w:pPr>
              <w:pStyle w:val="33"/>
              <w:spacing w:before="138" w:line="189" w:lineRule="auto"/>
              <w:ind w:left="1237"/>
              <w:rPr>
                <w:rFonts w:hint="default" w:eastAsia="宋体"/>
                <w:lang w:val="en-US" w:eastAsia="zh-CN"/>
              </w:rPr>
            </w:pPr>
            <w:r>
              <w:rPr>
                <w:rFonts w:hint="eastAsia" w:eastAsia="宋体"/>
                <w:lang w:val="en-US" w:eastAsia="zh-CN"/>
              </w:rPr>
              <w:t>0.9587</w:t>
            </w:r>
          </w:p>
        </w:tc>
      </w:tr>
      <w:tr w14:paraId="239A7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continue"/>
            <w:tcBorders>
              <w:top w:val="nil"/>
              <w:left w:val="single" w:color="000000" w:sz="10" w:space="0"/>
              <w:bottom w:val="nil"/>
            </w:tcBorders>
            <w:vAlign w:val="top"/>
          </w:tcPr>
          <w:p w14:paraId="6690B012">
            <w:pPr>
              <w:rPr>
                <w:rFonts w:ascii="Arial"/>
                <w:sz w:val="21"/>
              </w:rPr>
            </w:pPr>
          </w:p>
        </w:tc>
        <w:tc>
          <w:tcPr>
            <w:tcW w:w="2583" w:type="dxa"/>
            <w:vAlign w:val="top"/>
          </w:tcPr>
          <w:p w14:paraId="31074314">
            <w:pPr>
              <w:spacing w:before="100" w:line="220" w:lineRule="auto"/>
              <w:ind w:left="857"/>
              <w:rPr>
                <w:rFonts w:hint="default" w:ascii="宋体" w:hAnsi="宋体" w:eastAsia="宋体" w:cs="宋体"/>
                <w:spacing w:val="-3"/>
                <w:sz w:val="22"/>
                <w:szCs w:val="22"/>
                <w:lang w:val="en-US" w:eastAsia="zh-CN"/>
              </w:rPr>
            </w:pPr>
            <w:r>
              <w:rPr>
                <w:rFonts w:hint="eastAsia" w:ascii="宋体" w:hAnsi="宋体" w:cs="宋体"/>
                <w:spacing w:val="-3"/>
                <w:sz w:val="22"/>
                <w:szCs w:val="22"/>
                <w:lang w:val="en-US" w:eastAsia="zh-CN"/>
              </w:rPr>
              <w:t>河流水面</w:t>
            </w:r>
          </w:p>
        </w:tc>
        <w:tc>
          <w:tcPr>
            <w:tcW w:w="3067" w:type="dxa"/>
            <w:tcBorders>
              <w:right w:val="single" w:color="000000" w:sz="10" w:space="0"/>
            </w:tcBorders>
            <w:vAlign w:val="top"/>
          </w:tcPr>
          <w:p w14:paraId="31691851">
            <w:pPr>
              <w:pStyle w:val="33"/>
              <w:spacing w:before="138" w:line="189" w:lineRule="auto"/>
              <w:ind w:left="1237"/>
              <w:rPr>
                <w:rFonts w:hint="default" w:eastAsia="宋体"/>
                <w:lang w:val="en-US" w:eastAsia="zh-CN"/>
              </w:rPr>
            </w:pPr>
            <w:r>
              <w:rPr>
                <w:rFonts w:hint="eastAsia" w:eastAsia="宋体"/>
                <w:lang w:val="en-US" w:eastAsia="zh-CN"/>
              </w:rPr>
              <w:t>129.3965</w:t>
            </w:r>
          </w:p>
        </w:tc>
      </w:tr>
      <w:tr w14:paraId="5E66F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879" w:type="dxa"/>
            <w:vMerge w:val="continue"/>
            <w:tcBorders>
              <w:top w:val="nil"/>
              <w:left w:val="single" w:color="000000" w:sz="10" w:space="0"/>
              <w:bottom w:val="nil"/>
            </w:tcBorders>
            <w:vAlign w:val="top"/>
          </w:tcPr>
          <w:p w14:paraId="0E138854">
            <w:pPr>
              <w:rPr>
                <w:rFonts w:ascii="Arial"/>
                <w:sz w:val="21"/>
              </w:rPr>
            </w:pPr>
          </w:p>
        </w:tc>
        <w:tc>
          <w:tcPr>
            <w:tcW w:w="2583" w:type="dxa"/>
            <w:vAlign w:val="top"/>
          </w:tcPr>
          <w:p w14:paraId="0D52CD75">
            <w:pPr>
              <w:spacing w:before="100" w:line="220" w:lineRule="auto"/>
              <w:ind w:left="857"/>
              <w:rPr>
                <w:rFonts w:hint="eastAsia" w:ascii="宋体" w:hAnsi="宋体" w:eastAsia="宋体" w:cs="宋体"/>
                <w:spacing w:val="-3"/>
                <w:sz w:val="22"/>
                <w:szCs w:val="22"/>
                <w:lang w:val="en-US" w:eastAsia="zh-CN"/>
              </w:rPr>
            </w:pPr>
            <w:r>
              <w:rPr>
                <w:rFonts w:hint="eastAsia" w:ascii="宋体" w:hAnsi="宋体" w:cs="宋体"/>
                <w:spacing w:val="-3"/>
                <w:sz w:val="22"/>
                <w:szCs w:val="22"/>
                <w:lang w:val="en-US" w:eastAsia="zh-CN"/>
              </w:rPr>
              <w:t>内陆滩涂</w:t>
            </w:r>
          </w:p>
        </w:tc>
        <w:tc>
          <w:tcPr>
            <w:tcW w:w="3067" w:type="dxa"/>
            <w:tcBorders>
              <w:right w:val="single" w:color="000000" w:sz="10" w:space="0"/>
            </w:tcBorders>
            <w:vAlign w:val="top"/>
          </w:tcPr>
          <w:p w14:paraId="42A340B4">
            <w:pPr>
              <w:pStyle w:val="33"/>
              <w:spacing w:before="138" w:line="189" w:lineRule="auto"/>
              <w:ind w:left="1237"/>
              <w:rPr>
                <w:rFonts w:hint="default" w:eastAsia="宋体"/>
                <w:lang w:val="en-US" w:eastAsia="zh-CN"/>
              </w:rPr>
            </w:pPr>
            <w:r>
              <w:rPr>
                <w:rFonts w:hint="eastAsia" w:eastAsia="宋体"/>
                <w:lang w:val="en-US" w:eastAsia="zh-CN"/>
              </w:rPr>
              <w:t>53.5906</w:t>
            </w:r>
          </w:p>
        </w:tc>
      </w:tr>
      <w:tr w14:paraId="1E05E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879" w:type="dxa"/>
            <w:vMerge w:val="continue"/>
            <w:tcBorders>
              <w:top w:val="nil"/>
              <w:left w:val="single" w:color="000000" w:sz="10" w:space="0"/>
              <w:bottom w:val="single" w:color="000000" w:sz="10" w:space="0"/>
            </w:tcBorders>
            <w:vAlign w:val="top"/>
          </w:tcPr>
          <w:p w14:paraId="7C323A79">
            <w:pPr>
              <w:rPr>
                <w:rFonts w:ascii="Arial"/>
                <w:sz w:val="21"/>
              </w:rPr>
            </w:pPr>
          </w:p>
        </w:tc>
        <w:tc>
          <w:tcPr>
            <w:tcW w:w="2583" w:type="dxa"/>
            <w:tcBorders>
              <w:bottom w:val="single" w:color="000000" w:sz="10" w:space="0"/>
            </w:tcBorders>
            <w:vAlign w:val="top"/>
          </w:tcPr>
          <w:p w14:paraId="044D4DB5">
            <w:pPr>
              <w:spacing w:before="106" w:line="222" w:lineRule="auto"/>
              <w:ind w:left="1083"/>
              <w:rPr>
                <w:rFonts w:ascii="宋体" w:hAnsi="宋体" w:eastAsia="宋体" w:cs="宋体"/>
                <w:sz w:val="22"/>
                <w:szCs w:val="22"/>
              </w:rPr>
            </w:pPr>
            <w:r>
              <w:rPr>
                <w:rFonts w:ascii="宋体" w:hAnsi="宋体" w:eastAsia="宋体" w:cs="宋体"/>
                <w:spacing w:val="-7"/>
                <w:sz w:val="22"/>
                <w:szCs w:val="22"/>
              </w:rPr>
              <w:t>总计</w:t>
            </w:r>
          </w:p>
        </w:tc>
        <w:tc>
          <w:tcPr>
            <w:tcW w:w="3067" w:type="dxa"/>
            <w:tcBorders>
              <w:bottom w:val="single" w:color="000000" w:sz="10" w:space="0"/>
              <w:right w:val="single" w:color="000000" w:sz="10" w:space="0"/>
            </w:tcBorders>
            <w:vAlign w:val="top"/>
          </w:tcPr>
          <w:p w14:paraId="00F4E984">
            <w:pPr>
              <w:pStyle w:val="33"/>
              <w:spacing w:before="145" w:line="189" w:lineRule="auto"/>
              <w:ind w:left="1237"/>
              <w:rPr>
                <w:rFonts w:hint="default" w:eastAsia="宋体"/>
                <w:lang w:val="en-US" w:eastAsia="zh-CN"/>
              </w:rPr>
            </w:pPr>
            <w:r>
              <w:rPr>
                <w:rFonts w:hint="eastAsia" w:eastAsia="宋体"/>
                <w:lang w:val="en-US" w:eastAsia="zh-CN"/>
              </w:rPr>
              <w:t>212.8193</w:t>
            </w:r>
          </w:p>
        </w:tc>
      </w:tr>
    </w:tbl>
    <w:p w14:paraId="173FC6CB">
      <w:pPr>
        <w:pStyle w:val="4"/>
        <w:keepNext w:val="0"/>
        <w:keepLines w:val="0"/>
        <w:pageBreakBefore w:val="0"/>
        <w:widowControl w:val="0"/>
        <w:numPr>
          <w:ilvl w:val="0"/>
          <w:numId w:val="0"/>
        </w:numPr>
        <w:kinsoku/>
        <w:wordWrap/>
        <w:overflowPunct/>
        <w:topLinePunct w:val="0"/>
        <w:autoSpaceDE/>
        <w:autoSpaceDN/>
        <w:bidi w:val="0"/>
        <w:adjustRightInd w:val="0"/>
        <w:snapToGrid/>
        <w:ind w:leftChars="200"/>
        <w:jc w:val="both"/>
        <w:textAlignment w:val="auto"/>
        <w:outlineLvl w:val="2"/>
        <w:rPr>
          <w:rFonts w:hint="eastAsia" w:ascii="Times New Roman" w:hAnsi="Times New Roman" w:eastAsia="黑体" w:cs="Times New Roman"/>
          <w:color w:val="auto"/>
          <w:kern w:val="2"/>
          <w:sz w:val="30"/>
          <w:szCs w:val="24"/>
          <w:lang w:val="en-US" w:eastAsia="zh-CN" w:bidi="ar-SA"/>
        </w:rPr>
      </w:pPr>
      <w:bookmarkStart w:id="299" w:name="_Toc2341"/>
      <w:bookmarkStart w:id="300" w:name="_Toc32473"/>
      <w:bookmarkStart w:id="301" w:name="_Toc15391"/>
      <w:bookmarkStart w:id="302" w:name="_Toc18442"/>
      <w:bookmarkStart w:id="303" w:name="_Toc20725"/>
      <w:bookmarkStart w:id="304" w:name="_Toc30491"/>
      <w:bookmarkStart w:id="305" w:name="_Toc25071"/>
      <w:bookmarkStart w:id="306" w:name="_Toc28860"/>
      <w:bookmarkStart w:id="307" w:name="_Toc29297"/>
      <w:r>
        <w:rPr>
          <w:rFonts w:hint="eastAsia" w:ascii="Times New Roman" w:hAnsi="Times New Roman" w:eastAsia="黑体" w:cs="Times New Roman"/>
          <w:color w:val="auto"/>
          <w:kern w:val="2"/>
          <w:sz w:val="30"/>
          <w:szCs w:val="24"/>
          <w:lang w:val="en-US" w:eastAsia="zh-CN" w:bidi="ar-SA"/>
        </w:rPr>
        <w:t>3.</w:t>
      </w:r>
      <w:r>
        <w:rPr>
          <w:rFonts w:hint="eastAsia" w:cs="Times New Roman"/>
          <w:color w:val="auto"/>
          <w:kern w:val="2"/>
          <w:sz w:val="30"/>
          <w:szCs w:val="24"/>
          <w:lang w:val="en-US" w:eastAsia="zh-CN" w:bidi="ar-SA"/>
        </w:rPr>
        <w:t>4.3</w:t>
      </w:r>
      <w:r>
        <w:rPr>
          <w:rFonts w:hint="eastAsia" w:ascii="Times New Roman" w:hAnsi="Times New Roman" w:eastAsia="黑体" w:cs="Times New Roman"/>
          <w:color w:val="auto"/>
          <w:kern w:val="2"/>
          <w:sz w:val="30"/>
          <w:szCs w:val="24"/>
          <w:lang w:val="en-US" w:eastAsia="zh-CN" w:bidi="ar-SA"/>
        </w:rPr>
        <w:t xml:space="preserve"> 限养区管控措施</w:t>
      </w:r>
      <w:bookmarkEnd w:id="299"/>
      <w:bookmarkEnd w:id="300"/>
      <w:bookmarkEnd w:id="301"/>
      <w:bookmarkEnd w:id="302"/>
      <w:bookmarkEnd w:id="303"/>
      <w:bookmarkEnd w:id="304"/>
    </w:p>
    <w:p w14:paraId="22D0E281">
      <w:pPr>
        <w:rPr>
          <w:rFonts w:ascii="Times New Roman" w:hAnsi="Times New Roman" w:eastAsia="宋体" w:cs="Times New Roman"/>
          <w:kern w:val="2"/>
          <w:sz w:val="28"/>
          <w:szCs w:val="28"/>
          <w:lang w:bidi="ar-SA"/>
        </w:rPr>
      </w:pPr>
      <w:r>
        <w:rPr>
          <w:rFonts w:hint="eastAsia" w:ascii="Times New Roman" w:hAnsi="Times New Roman" w:eastAsia="黑体" w:cs="Times New Roman"/>
          <w:kern w:val="2"/>
          <w:sz w:val="30"/>
          <w:szCs w:val="24"/>
          <w:lang w:val="en-US" w:eastAsia="zh-CN" w:bidi="ar-SA"/>
        </w:rPr>
        <w:t xml:space="preserve"> </w:t>
      </w:r>
      <w:r>
        <w:rPr>
          <w:rFonts w:hint="eastAsia" w:ascii="Times New Roman" w:hAnsi="Times New Roman" w:eastAsia="宋体" w:cs="Times New Roman"/>
          <w:kern w:val="2"/>
          <w:sz w:val="28"/>
          <w:szCs w:val="28"/>
          <w:lang w:val="en-US" w:eastAsia="zh-CN" w:bidi="ar-SA"/>
        </w:rPr>
        <w:t xml:space="preserve">   （1）</w:t>
      </w:r>
      <w:r>
        <w:rPr>
          <w:rFonts w:ascii="Times New Roman" w:hAnsi="Times New Roman" w:eastAsia="宋体" w:cs="Times New Roman"/>
          <w:kern w:val="2"/>
          <w:sz w:val="28"/>
          <w:szCs w:val="28"/>
          <w:lang w:bidi="ar-SA"/>
        </w:rPr>
        <w:t>限养区内养殖活动必须符合生态环保要求，严禁养殖尾水直排、严禁乱扔病死渔获物、严禁违规使用渔药及投入品。确需开展生态养殖的，必须配套尾水净化、沉淀、循环利用设施，确保水质稳定达标。</w:t>
      </w:r>
    </w:p>
    <w:p w14:paraId="00F4579E">
      <w:pPr>
        <w:ind w:firstLine="560" w:firstLineChars="200"/>
        <w:rPr>
          <w:rFonts w:ascii="Times New Roman" w:hAnsi="Times New Roman" w:eastAsia="宋体" w:cs="Times New Roman"/>
          <w:kern w:val="2"/>
          <w:sz w:val="28"/>
          <w:szCs w:val="28"/>
          <w:lang w:bidi="ar-SA"/>
        </w:rPr>
      </w:pPr>
      <w:r>
        <w:rPr>
          <w:rFonts w:hint="eastAsia" w:ascii="Times New Roman" w:hAnsi="Times New Roman" w:eastAsia="宋体" w:cs="Times New Roman"/>
          <w:kern w:val="2"/>
          <w:sz w:val="28"/>
          <w:szCs w:val="28"/>
          <w:lang w:eastAsia="zh-CN" w:bidi="ar-SA"/>
        </w:rPr>
        <w:t>（</w:t>
      </w:r>
      <w:r>
        <w:rPr>
          <w:rFonts w:hint="eastAsia" w:ascii="Times New Roman" w:hAnsi="Times New Roman" w:eastAsia="宋体" w:cs="Times New Roman"/>
          <w:kern w:val="2"/>
          <w:sz w:val="28"/>
          <w:szCs w:val="28"/>
          <w:lang w:val="en-US" w:eastAsia="zh-CN" w:bidi="ar-SA"/>
        </w:rPr>
        <w:t>2</w:t>
      </w:r>
      <w:r>
        <w:rPr>
          <w:rFonts w:hint="eastAsia" w:ascii="Times New Roman" w:hAnsi="Times New Roman" w:eastAsia="宋体" w:cs="Times New Roman"/>
          <w:kern w:val="2"/>
          <w:sz w:val="28"/>
          <w:szCs w:val="28"/>
          <w:lang w:eastAsia="zh-CN" w:bidi="ar-SA"/>
        </w:rPr>
        <w:t>）</w:t>
      </w:r>
      <w:r>
        <w:rPr>
          <w:rFonts w:ascii="Times New Roman" w:hAnsi="Times New Roman" w:eastAsia="宋体" w:cs="Times New Roman"/>
          <w:kern w:val="2"/>
          <w:sz w:val="28"/>
          <w:szCs w:val="28"/>
          <w:lang w:bidi="ar-SA"/>
        </w:rPr>
        <w:t>加强限养区水域生态监测与保护，定期开展水生生物资源调查与增殖放流，保护本地鱼类资源与生物多样性。严格管控捕捞强度，禁止破坏性捕捞方式，维护水域生态系统健康稳定。</w:t>
      </w:r>
    </w:p>
    <w:p w14:paraId="25815062">
      <w:pPr>
        <w:ind w:firstLine="560" w:firstLineChars="200"/>
        <w:rPr>
          <w:rFonts w:ascii="Times New Roman" w:hAnsi="Times New Roman" w:eastAsia="宋体" w:cs="Times New Roman"/>
          <w:kern w:val="2"/>
          <w:sz w:val="28"/>
          <w:szCs w:val="28"/>
          <w:lang w:bidi="ar-SA"/>
        </w:rPr>
      </w:pPr>
      <w:r>
        <w:rPr>
          <w:rFonts w:hint="eastAsia" w:ascii="Times New Roman" w:hAnsi="Times New Roman" w:eastAsia="宋体" w:cs="Times New Roman"/>
          <w:kern w:val="2"/>
          <w:sz w:val="28"/>
          <w:szCs w:val="28"/>
          <w:lang w:eastAsia="zh-CN" w:bidi="ar-SA"/>
        </w:rPr>
        <w:t>（</w:t>
      </w:r>
      <w:r>
        <w:rPr>
          <w:rFonts w:hint="eastAsia" w:ascii="Times New Roman" w:hAnsi="Times New Roman" w:eastAsia="宋体" w:cs="Times New Roman"/>
          <w:kern w:val="2"/>
          <w:sz w:val="28"/>
          <w:szCs w:val="28"/>
          <w:lang w:val="en-US" w:eastAsia="zh-CN" w:bidi="ar-SA"/>
        </w:rPr>
        <w:t>3</w:t>
      </w:r>
      <w:r>
        <w:rPr>
          <w:rFonts w:hint="eastAsia" w:ascii="Times New Roman" w:hAnsi="Times New Roman" w:eastAsia="宋体" w:cs="Times New Roman"/>
          <w:kern w:val="2"/>
          <w:sz w:val="28"/>
          <w:szCs w:val="28"/>
          <w:lang w:eastAsia="zh-CN" w:bidi="ar-SA"/>
        </w:rPr>
        <w:t>）</w:t>
      </w:r>
      <w:r>
        <w:rPr>
          <w:rFonts w:ascii="Times New Roman" w:hAnsi="Times New Roman" w:eastAsia="宋体" w:cs="Times New Roman"/>
          <w:kern w:val="2"/>
          <w:sz w:val="28"/>
          <w:szCs w:val="28"/>
          <w:lang w:bidi="ar-SA"/>
        </w:rPr>
        <w:t>限养区内养殖项目实行严格审批、从严把关，必须符合规划、环保、水资源管理要求，依法办理养殖证。未取得养殖许可、未落实环保措施的，一律不得开展养殖生产。</w:t>
      </w:r>
    </w:p>
    <w:p w14:paraId="343607E7">
      <w:pPr>
        <w:ind w:firstLine="560" w:firstLineChars="200"/>
        <w:rPr>
          <w:rFonts w:hint="eastAsia" w:cs="Times New Roman"/>
          <w:kern w:val="2"/>
          <w:sz w:val="28"/>
          <w:szCs w:val="28"/>
          <w:lang w:val="en-US" w:eastAsia="zh-CN" w:bidi="ar-SA"/>
        </w:rPr>
      </w:pPr>
      <w:r>
        <w:rPr>
          <w:rFonts w:hint="eastAsia" w:cs="Times New Roman"/>
          <w:kern w:val="2"/>
          <w:sz w:val="28"/>
          <w:szCs w:val="28"/>
          <w:lang w:eastAsia="zh-CN" w:bidi="ar-SA"/>
        </w:rPr>
        <w:t>（</w:t>
      </w:r>
      <w:r>
        <w:rPr>
          <w:rFonts w:hint="eastAsia" w:cs="Times New Roman"/>
          <w:kern w:val="2"/>
          <w:sz w:val="28"/>
          <w:szCs w:val="28"/>
          <w:lang w:val="en-US" w:eastAsia="zh-CN" w:bidi="ar-SA"/>
        </w:rPr>
        <w:t>4</w:t>
      </w:r>
      <w:r>
        <w:rPr>
          <w:rFonts w:hint="eastAsia" w:cs="Times New Roman"/>
          <w:kern w:val="2"/>
          <w:sz w:val="28"/>
          <w:szCs w:val="28"/>
          <w:lang w:eastAsia="zh-CN" w:bidi="ar-SA"/>
        </w:rPr>
        <w:t>）限制养殖区内湖泊、水库应限制捕捞强度，养殖主体应于每年年初制定当年年度捕捞方案，明确捕捞种类、数量、规格、时间及捕捞区域，年度捕捞方案应征得县渔业主管部门同意并备案。</w:t>
      </w:r>
    </w:p>
    <w:p w14:paraId="4FF36BF7">
      <w:pPr>
        <w:pStyle w:val="3"/>
        <w:numPr>
          <w:ilvl w:val="0"/>
          <w:numId w:val="0"/>
        </w:numPr>
        <w:ind w:leftChars="200"/>
        <w:jc w:val="both"/>
        <w:rPr>
          <w:rFonts w:hint="eastAsia" w:eastAsia="黑体"/>
          <w:b w:val="0"/>
          <w:lang w:val="en-US" w:eastAsia="zh-CN"/>
        </w:rPr>
      </w:pPr>
      <w:bookmarkStart w:id="308" w:name="_Toc23354"/>
      <w:bookmarkStart w:id="309" w:name="_Toc1128"/>
      <w:bookmarkStart w:id="310" w:name="_Toc1843"/>
      <w:bookmarkStart w:id="311" w:name="_Toc29798"/>
      <w:bookmarkStart w:id="312" w:name="_Toc29238"/>
      <w:bookmarkStart w:id="313" w:name="_Toc30339"/>
      <w:r>
        <w:rPr>
          <w:rFonts w:hint="eastAsia"/>
          <w:lang w:val="en-US" w:eastAsia="zh-CN"/>
        </w:rPr>
        <w:t xml:space="preserve">3.5 </w:t>
      </w:r>
      <w:r>
        <w:t>养殖区</w:t>
      </w:r>
      <w:bookmarkEnd w:id="305"/>
      <w:bookmarkEnd w:id="306"/>
      <w:bookmarkEnd w:id="307"/>
      <w:r>
        <w:rPr>
          <w:rFonts w:hint="eastAsia"/>
          <w:lang w:val="en-US" w:eastAsia="zh-CN"/>
        </w:rPr>
        <w:t>划定</w:t>
      </w:r>
      <w:bookmarkEnd w:id="308"/>
      <w:bookmarkEnd w:id="309"/>
      <w:bookmarkEnd w:id="310"/>
      <w:bookmarkEnd w:id="311"/>
      <w:bookmarkEnd w:id="312"/>
      <w:bookmarkEnd w:id="313"/>
    </w:p>
    <w:p w14:paraId="304FF9AC">
      <w:pPr>
        <w:pStyle w:val="11"/>
        <w:keepNext w:val="0"/>
        <w:keepLines w:val="0"/>
        <w:pageBreakBefore w:val="0"/>
        <w:widowControl w:val="0"/>
        <w:kinsoku/>
        <w:wordWrap/>
        <w:overflowPunct/>
        <w:topLinePunct w:val="0"/>
        <w:autoSpaceDE/>
        <w:autoSpaceDN/>
        <w:bidi w:val="0"/>
        <w:adjustRightInd w:val="0"/>
        <w:snapToGrid/>
        <w:spacing w:line="360" w:lineRule="auto"/>
        <w:ind w:leftChars="0" w:firstLine="600" w:firstLineChars="200"/>
        <w:jc w:val="both"/>
        <w:textAlignment w:val="auto"/>
        <w:outlineLvl w:val="2"/>
        <w:rPr>
          <w:rFonts w:hint="default" w:ascii="Times New Roman" w:hAnsi="Times New Roman" w:eastAsia="宋体" w:cs="Times New Roman"/>
          <w:sz w:val="28"/>
          <w:szCs w:val="28"/>
          <w:lang w:val="en-US" w:eastAsia="zh-CN"/>
        </w:rPr>
      </w:pPr>
      <w:bookmarkStart w:id="314" w:name="_Toc31795"/>
      <w:bookmarkStart w:id="315" w:name="_Toc14292"/>
      <w:r>
        <w:rPr>
          <w:rFonts w:hint="eastAsia" w:ascii="Times New Roman" w:hAnsi="Times New Roman" w:eastAsia="黑体" w:cs="Times New Roman"/>
          <w:color w:val="auto"/>
          <w:kern w:val="2"/>
          <w:sz w:val="30"/>
          <w:szCs w:val="24"/>
          <w:lang w:val="en-US" w:eastAsia="zh-CN" w:bidi="ar-SA"/>
        </w:rPr>
        <w:t>3.</w:t>
      </w:r>
      <w:r>
        <w:rPr>
          <w:rFonts w:hint="eastAsia" w:eastAsia="黑体" w:cs="Times New Roman"/>
          <w:color w:val="auto"/>
          <w:kern w:val="2"/>
          <w:sz w:val="30"/>
          <w:szCs w:val="24"/>
          <w:lang w:val="en-US" w:eastAsia="zh-CN" w:bidi="ar-SA"/>
        </w:rPr>
        <w:t>5</w:t>
      </w:r>
      <w:r>
        <w:rPr>
          <w:rFonts w:hint="eastAsia" w:ascii="Times New Roman" w:hAnsi="Times New Roman" w:eastAsia="黑体" w:cs="Times New Roman"/>
          <w:color w:val="auto"/>
          <w:kern w:val="2"/>
          <w:sz w:val="30"/>
          <w:szCs w:val="24"/>
          <w:lang w:val="en-US" w:eastAsia="zh-CN" w:bidi="ar-SA"/>
        </w:rPr>
        <w:t>.</w:t>
      </w:r>
      <w:r>
        <w:rPr>
          <w:rFonts w:hint="eastAsia" w:cs="Times New Roman"/>
          <w:color w:val="auto"/>
          <w:kern w:val="2"/>
          <w:sz w:val="30"/>
          <w:szCs w:val="24"/>
          <w:lang w:val="en-US" w:eastAsia="zh-CN" w:bidi="ar-SA"/>
        </w:rPr>
        <w:t>1</w:t>
      </w:r>
      <w:r>
        <w:rPr>
          <w:rFonts w:hint="eastAsia" w:ascii="Times New Roman" w:hAnsi="Times New Roman" w:eastAsia="黑体" w:cs="Times New Roman"/>
          <w:color w:val="auto"/>
          <w:kern w:val="2"/>
          <w:sz w:val="30"/>
          <w:szCs w:val="24"/>
          <w:lang w:val="en-US" w:eastAsia="zh-CN" w:bidi="ar-SA"/>
        </w:rPr>
        <w:t xml:space="preserve"> </w:t>
      </w:r>
      <w:r>
        <w:rPr>
          <w:rFonts w:hint="eastAsia" w:eastAsia="黑体" w:cs="Times New Roman"/>
          <w:color w:val="auto"/>
          <w:kern w:val="2"/>
          <w:sz w:val="30"/>
          <w:szCs w:val="24"/>
          <w:lang w:val="en-US" w:eastAsia="zh-CN" w:bidi="ar-SA"/>
        </w:rPr>
        <w:t>池塘、水库及其他</w:t>
      </w:r>
      <w:r>
        <w:rPr>
          <w:rFonts w:hint="eastAsia" w:ascii="Times New Roman" w:hAnsi="Times New Roman" w:eastAsia="黑体" w:cs="Times New Roman"/>
          <w:color w:val="auto"/>
          <w:kern w:val="2"/>
          <w:sz w:val="30"/>
          <w:szCs w:val="24"/>
          <w:lang w:val="en-US" w:eastAsia="zh-CN" w:bidi="ar-SA"/>
        </w:rPr>
        <w:t>养殖区</w:t>
      </w:r>
      <w:bookmarkEnd w:id="314"/>
      <w:bookmarkEnd w:id="315"/>
      <w:r>
        <w:rPr>
          <w:rFonts w:hint="eastAsia" w:cs="Times New Roman"/>
          <w:sz w:val="28"/>
          <w:szCs w:val="28"/>
          <w:lang w:val="en-US" w:eastAsia="zh-CN"/>
        </w:rPr>
        <w:t xml:space="preserve"> </w:t>
      </w:r>
    </w:p>
    <w:p w14:paraId="7D5F9F05">
      <w:pPr>
        <w:pStyle w:val="11"/>
        <w:spacing w:line="360" w:lineRule="auto"/>
        <w:ind w:leftChars="0" w:firstLine="560" w:firstLineChars="200"/>
        <w:jc w:val="both"/>
        <w:rPr>
          <w:rFonts w:hint="eastAsia" w:ascii="Times New Roman" w:hAnsi="Times New Roman" w:eastAsia="宋体" w:cs="Times New Roman"/>
          <w:color w:val="F2BA02" w:themeColor="accent3"/>
          <w:sz w:val="28"/>
          <w:szCs w:val="28"/>
          <w:lang w:val="en-US" w:eastAsia="zh-CN"/>
          <w14:textFill>
            <w14:solidFill>
              <w14:schemeClr w14:val="accent3"/>
            </w14:solidFill>
          </w14:textFill>
        </w:rPr>
      </w:pPr>
      <w:r>
        <w:rPr>
          <w:rFonts w:ascii="Times New Roman" w:hAnsi="Times New Roman" w:eastAsia="宋体" w:cs="Times New Roman"/>
          <w:sz w:val="28"/>
          <w:szCs w:val="28"/>
        </w:rPr>
        <w:t>根据</w:t>
      </w:r>
      <w:r>
        <w:rPr>
          <w:rFonts w:hint="eastAsia" w:cs="Times New Roman"/>
          <w:sz w:val="28"/>
          <w:szCs w:val="28"/>
          <w:lang w:eastAsia="zh-CN"/>
        </w:rPr>
        <w:t>友好区</w:t>
      </w:r>
      <w:r>
        <w:rPr>
          <w:rFonts w:ascii="Times New Roman" w:hAnsi="Times New Roman" w:eastAsia="宋体" w:cs="Times New Roman"/>
          <w:sz w:val="28"/>
          <w:szCs w:val="28"/>
        </w:rPr>
        <w:t>开发利用现状，结</w:t>
      </w:r>
      <w:r>
        <w:rPr>
          <w:rFonts w:hint="eastAsia" w:cs="Times New Roman"/>
          <w:sz w:val="28"/>
          <w:szCs w:val="28"/>
          <w:lang w:val="en-US" w:eastAsia="zh-CN"/>
        </w:rPr>
        <w:t>合</w:t>
      </w:r>
      <w:r>
        <w:rPr>
          <w:rFonts w:hint="eastAsia" w:cs="Times New Roman"/>
          <w:sz w:val="28"/>
          <w:szCs w:val="28"/>
          <w:lang w:eastAsia="zh-CN"/>
        </w:rPr>
        <w:t>友好区</w:t>
      </w:r>
      <w:r>
        <w:rPr>
          <w:rFonts w:ascii="Times New Roman" w:hAnsi="Times New Roman" w:eastAsia="宋体" w:cs="Times New Roman"/>
          <w:sz w:val="28"/>
          <w:szCs w:val="28"/>
        </w:rPr>
        <w:t>总体规划和各类保护区规划除去已划入禁养区和限养区的水域滩涂，</w:t>
      </w:r>
      <w:r>
        <w:rPr>
          <w:rFonts w:hint="eastAsia" w:cs="Times New Roman"/>
          <w:sz w:val="28"/>
          <w:szCs w:val="28"/>
          <w:lang w:eastAsia="zh-CN"/>
        </w:rPr>
        <w:t>友好区</w:t>
      </w:r>
      <w:r>
        <w:rPr>
          <w:rFonts w:ascii="Times New Roman" w:hAnsi="Times New Roman" w:eastAsia="宋体" w:cs="Times New Roman"/>
          <w:sz w:val="28"/>
          <w:szCs w:val="28"/>
        </w:rPr>
        <w:t>适用于养殖水域滩涂共划定养殖区面积</w:t>
      </w:r>
      <w:r>
        <w:rPr>
          <w:rFonts w:hint="eastAsia" w:ascii="Times New Roman" w:hAnsi="Times New Roman" w:eastAsia="宋体" w:cs="Times New Roman"/>
          <w:sz w:val="28"/>
          <w:szCs w:val="28"/>
        </w:rPr>
        <w:t>463.544</w:t>
      </w:r>
      <w:r>
        <w:rPr>
          <w:rFonts w:hint="eastAsia" w:cs="Times New Roman"/>
          <w:sz w:val="28"/>
          <w:szCs w:val="28"/>
          <w:lang w:val="en-US" w:eastAsia="zh-CN"/>
        </w:rPr>
        <w:t>6</w:t>
      </w:r>
      <w:r>
        <w:rPr>
          <w:rFonts w:ascii="Times New Roman" w:hAnsi="Times New Roman" w:eastAsia="宋体" w:cs="Times New Roman"/>
          <w:sz w:val="28"/>
          <w:szCs w:val="28"/>
        </w:rPr>
        <w:t>公顷，其中池塘养殖区</w:t>
      </w:r>
      <w:r>
        <w:rPr>
          <w:rFonts w:hint="eastAsia" w:cs="Times New Roman"/>
          <w:sz w:val="28"/>
          <w:szCs w:val="28"/>
          <w:lang w:eastAsia="zh-CN"/>
        </w:rPr>
        <w:t>（</w:t>
      </w:r>
      <w:r>
        <w:rPr>
          <w:rFonts w:hint="eastAsia" w:ascii="Times New Roman" w:hAnsi="Times New Roman" w:eastAsia="宋体" w:cs="Times New Roman"/>
          <w:sz w:val="28"/>
          <w:szCs w:val="28"/>
        </w:rPr>
        <w:t>3-1-1</w:t>
      </w:r>
      <w:r>
        <w:rPr>
          <w:rFonts w:hint="eastAsia" w:cs="Times New Roman"/>
          <w:sz w:val="28"/>
          <w:szCs w:val="28"/>
          <w:lang w:eastAsia="zh-CN"/>
        </w:rPr>
        <w:t>）</w:t>
      </w:r>
      <w:r>
        <w:rPr>
          <w:rFonts w:hint="eastAsia" w:cs="Times New Roman"/>
          <w:sz w:val="28"/>
          <w:szCs w:val="28"/>
          <w:lang w:val="en-US" w:eastAsia="zh-CN"/>
        </w:rPr>
        <w:t>面积328.1626</w:t>
      </w:r>
      <w:r>
        <w:rPr>
          <w:rFonts w:ascii="Times New Roman" w:hAnsi="Times New Roman" w:eastAsia="宋体" w:cs="Times New Roman"/>
          <w:sz w:val="28"/>
          <w:szCs w:val="28"/>
        </w:rPr>
        <w:t>公顷（其中坑塘水面</w:t>
      </w:r>
      <w:r>
        <w:rPr>
          <w:rFonts w:hint="eastAsia" w:cs="Times New Roman"/>
          <w:sz w:val="28"/>
          <w:szCs w:val="28"/>
          <w:lang w:val="en-US" w:eastAsia="zh-CN"/>
        </w:rPr>
        <w:t>面积313.2813</w:t>
      </w:r>
      <w:r>
        <w:rPr>
          <w:rFonts w:ascii="Times New Roman" w:hAnsi="Times New Roman" w:eastAsia="宋体" w:cs="Times New Roman"/>
          <w:sz w:val="28"/>
          <w:szCs w:val="28"/>
        </w:rPr>
        <w:t>公顷，养殖坑塘</w:t>
      </w:r>
      <w:r>
        <w:rPr>
          <w:rFonts w:hint="eastAsia" w:cs="Times New Roman"/>
          <w:sz w:val="28"/>
          <w:szCs w:val="28"/>
          <w:lang w:val="en-US" w:eastAsia="zh-CN"/>
        </w:rPr>
        <w:t>面积14.8813</w:t>
      </w:r>
      <w:r>
        <w:rPr>
          <w:rFonts w:ascii="Times New Roman" w:hAnsi="Times New Roman" w:eastAsia="宋体" w:cs="Times New Roman"/>
          <w:sz w:val="28"/>
          <w:szCs w:val="28"/>
        </w:rPr>
        <w:t>公顷）、水库养殖区</w:t>
      </w:r>
      <w:r>
        <w:rPr>
          <w:rFonts w:hint="eastAsia" w:cs="Times New Roman"/>
          <w:sz w:val="28"/>
          <w:szCs w:val="28"/>
          <w:lang w:eastAsia="zh-CN"/>
        </w:rPr>
        <w:t>（</w:t>
      </w:r>
      <w:r>
        <w:rPr>
          <w:rFonts w:hint="eastAsia" w:ascii="Times New Roman" w:hAnsi="Times New Roman" w:eastAsia="宋体" w:cs="Times New Roman"/>
          <w:sz w:val="28"/>
          <w:szCs w:val="28"/>
        </w:rPr>
        <w:t>3-1-</w:t>
      </w:r>
      <w:r>
        <w:rPr>
          <w:rFonts w:hint="eastAsia" w:cs="Times New Roman"/>
          <w:sz w:val="28"/>
          <w:szCs w:val="28"/>
          <w:lang w:val="en-US" w:eastAsia="zh-CN"/>
        </w:rPr>
        <w:t>3</w:t>
      </w:r>
      <w:r>
        <w:rPr>
          <w:rFonts w:hint="eastAsia" w:cs="Times New Roman"/>
          <w:sz w:val="28"/>
          <w:szCs w:val="28"/>
          <w:lang w:eastAsia="zh-CN"/>
        </w:rPr>
        <w:t>）</w:t>
      </w:r>
      <w:r>
        <w:rPr>
          <w:rFonts w:hint="eastAsia" w:cs="Times New Roman"/>
          <w:sz w:val="28"/>
          <w:szCs w:val="28"/>
          <w:lang w:val="en-US" w:eastAsia="zh-CN"/>
        </w:rPr>
        <w:t>面积14.5460</w:t>
      </w:r>
      <w:r>
        <w:rPr>
          <w:rFonts w:ascii="Times New Roman" w:hAnsi="Times New Roman" w:eastAsia="宋体" w:cs="Times New Roman"/>
          <w:sz w:val="28"/>
          <w:szCs w:val="28"/>
        </w:rPr>
        <w:t>公顷（水库水面</w:t>
      </w:r>
      <w:r>
        <w:rPr>
          <w:rFonts w:hint="eastAsia" w:cs="Times New Roman"/>
          <w:sz w:val="28"/>
          <w:szCs w:val="28"/>
          <w:lang w:val="en-US" w:eastAsia="zh-CN"/>
        </w:rPr>
        <w:t>面积14.5460</w:t>
      </w:r>
      <w:r>
        <w:rPr>
          <w:rFonts w:ascii="Times New Roman" w:hAnsi="Times New Roman" w:eastAsia="宋体" w:cs="Times New Roman"/>
          <w:sz w:val="28"/>
          <w:szCs w:val="28"/>
        </w:rPr>
        <w:t>公顷）、其</w:t>
      </w:r>
      <w:r>
        <w:rPr>
          <w:rFonts w:hint="eastAsia" w:cs="Times New Roman"/>
          <w:sz w:val="28"/>
          <w:szCs w:val="28"/>
          <w:lang w:val="en-US" w:eastAsia="zh-CN"/>
        </w:rPr>
        <w:t>他</w:t>
      </w:r>
      <w:r>
        <w:rPr>
          <w:rFonts w:ascii="Times New Roman" w:hAnsi="Times New Roman" w:eastAsia="宋体" w:cs="Times New Roman"/>
          <w:sz w:val="28"/>
          <w:szCs w:val="28"/>
        </w:rPr>
        <w:t>养殖区</w:t>
      </w:r>
      <w:r>
        <w:rPr>
          <w:rFonts w:hint="eastAsia" w:cs="Times New Roman"/>
          <w:sz w:val="28"/>
          <w:szCs w:val="28"/>
          <w:lang w:eastAsia="zh-CN"/>
        </w:rPr>
        <w:t>（</w:t>
      </w:r>
      <w:r>
        <w:rPr>
          <w:rFonts w:hint="eastAsia" w:ascii="Times New Roman" w:hAnsi="Times New Roman" w:eastAsia="宋体" w:cs="Times New Roman"/>
          <w:sz w:val="28"/>
          <w:szCs w:val="28"/>
        </w:rPr>
        <w:t>3-1-</w:t>
      </w:r>
      <w:r>
        <w:rPr>
          <w:rFonts w:hint="eastAsia" w:cs="Times New Roman"/>
          <w:sz w:val="28"/>
          <w:szCs w:val="28"/>
          <w:lang w:val="en-US" w:eastAsia="zh-CN"/>
        </w:rPr>
        <w:t>4</w:t>
      </w:r>
      <w:r>
        <w:rPr>
          <w:rFonts w:hint="eastAsia" w:cs="Times New Roman"/>
          <w:sz w:val="28"/>
          <w:szCs w:val="28"/>
          <w:lang w:eastAsia="zh-CN"/>
        </w:rPr>
        <w:t>）</w:t>
      </w:r>
      <w:r>
        <w:rPr>
          <w:rFonts w:hint="eastAsia" w:cs="Times New Roman"/>
          <w:sz w:val="28"/>
          <w:szCs w:val="28"/>
          <w:lang w:val="en-US" w:eastAsia="zh-CN"/>
        </w:rPr>
        <w:t>面积120.8360</w:t>
      </w:r>
      <w:r>
        <w:rPr>
          <w:rFonts w:ascii="Times New Roman" w:hAnsi="Times New Roman" w:eastAsia="宋体" w:cs="Times New Roman"/>
          <w:sz w:val="28"/>
          <w:szCs w:val="28"/>
        </w:rPr>
        <w:t>公顷（内陆滩涂</w:t>
      </w:r>
      <w:r>
        <w:rPr>
          <w:rFonts w:hint="eastAsia" w:cs="Times New Roman"/>
          <w:sz w:val="28"/>
          <w:szCs w:val="28"/>
          <w:lang w:val="en-US" w:eastAsia="zh-CN"/>
        </w:rPr>
        <w:t>面积120.8360</w:t>
      </w:r>
      <w:r>
        <w:rPr>
          <w:rFonts w:ascii="Times New Roman" w:hAnsi="Times New Roman" w:eastAsia="宋体" w:cs="Times New Roman"/>
          <w:sz w:val="28"/>
          <w:szCs w:val="28"/>
        </w:rPr>
        <w:t>公顷）。</w:t>
      </w:r>
    </w:p>
    <w:p w14:paraId="78AF6086">
      <w:pPr>
        <w:pStyle w:val="35"/>
        <w:jc w:val="center"/>
        <w:rPr>
          <w:rFonts w:hint="eastAsia" w:ascii="黑体" w:hAnsi="黑体" w:eastAsia="黑体" w:cs="黑体"/>
        </w:rPr>
      </w:pPr>
      <w:r>
        <w:rPr>
          <w:rFonts w:hint="eastAsia" w:ascii="黑体" w:hAnsi="黑体" w:eastAsia="黑体" w:cs="黑体"/>
        </w:rPr>
        <w:t>表3-</w:t>
      </w:r>
      <w:r>
        <w:rPr>
          <w:rFonts w:hint="eastAsia" w:ascii="黑体" w:hAnsi="黑体" w:eastAsia="黑体" w:cs="黑体"/>
          <w:lang w:val="en-US" w:eastAsia="zh-CN"/>
        </w:rPr>
        <w:t>21</w:t>
      </w:r>
      <w:r>
        <w:rPr>
          <w:rFonts w:hint="eastAsia" w:ascii="黑体" w:hAnsi="黑体" w:eastAsia="黑体" w:cs="黑体"/>
        </w:rPr>
        <w:t xml:space="preserve"> 养殖区类型统计表</w:t>
      </w:r>
    </w:p>
    <w:tbl>
      <w:tblPr>
        <w:tblStyle w:val="21"/>
        <w:tblW w:w="879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21"/>
        <w:gridCol w:w="1712"/>
        <w:gridCol w:w="2022"/>
        <w:gridCol w:w="2043"/>
      </w:tblGrid>
      <w:tr w14:paraId="143C2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 w:hRule="atLeast"/>
        </w:trPr>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2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代码</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0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5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类型</w:t>
            </w:r>
            <w:r>
              <w:rPr>
                <w:rFonts w:hint="eastAsia" w:ascii="宋体" w:hAnsi="宋体" w:eastAsia="宋体" w:cs="宋体"/>
                <w:i w:val="0"/>
                <w:iCs w:val="0"/>
                <w:color w:val="000000"/>
                <w:kern w:val="0"/>
                <w:sz w:val="20"/>
                <w:szCs w:val="20"/>
                <w:u w:val="none"/>
                <w:lang w:val="en-US" w:eastAsia="zh-CN" w:bidi="ar"/>
              </w:rPr>
              <w:t>名称</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E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水域滩涂面积（公顷）</w:t>
            </w:r>
          </w:p>
        </w:tc>
      </w:tr>
      <w:tr w14:paraId="68DE7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30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C1E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095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养殖区</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4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池塘养殖区</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AC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sz w:val="20"/>
                <w:szCs w:val="20"/>
                <w:u w:val="none"/>
                <w:lang w:val="en-US" w:eastAsia="zh-CN"/>
              </w:rPr>
              <w:t>328.162</w:t>
            </w:r>
            <w:r>
              <w:rPr>
                <w:rFonts w:hint="eastAsia" w:cs="Times New Roman"/>
                <w:i w:val="0"/>
                <w:iCs w:val="0"/>
                <w:color w:val="000000"/>
                <w:sz w:val="20"/>
                <w:szCs w:val="20"/>
                <w:u w:val="none"/>
                <w:lang w:val="en-US" w:eastAsia="zh-CN"/>
              </w:rPr>
              <w:t>6</w:t>
            </w:r>
          </w:p>
        </w:tc>
      </w:tr>
      <w:tr w14:paraId="2843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3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E6ADD">
            <w:pPr>
              <w:jc w:val="center"/>
              <w:rPr>
                <w:rFonts w:hint="default" w:ascii="Times New Roman" w:hAnsi="Times New Roman" w:eastAsia="宋体" w:cs="Times New Roman"/>
                <w:i w:val="0"/>
                <w:iCs w:val="0"/>
                <w:color w:val="000000"/>
                <w:sz w:val="20"/>
                <w:szCs w:val="20"/>
                <w:u w:val="none"/>
              </w:rPr>
            </w:pPr>
          </w:p>
        </w:tc>
        <w:tc>
          <w:tcPr>
            <w:tcW w:w="1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46FB0">
            <w:pPr>
              <w:jc w:val="center"/>
              <w:rPr>
                <w:rFonts w:hint="eastAsia" w:ascii="宋体" w:hAnsi="宋体" w:eastAsia="宋体" w:cs="宋体"/>
                <w:i w:val="0"/>
                <w:iCs w:val="0"/>
                <w:color w:val="000000"/>
                <w:sz w:val="20"/>
                <w:szCs w:val="20"/>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2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水库养殖区</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25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14.5460</w:t>
            </w:r>
          </w:p>
        </w:tc>
      </w:tr>
      <w:tr w14:paraId="11A0F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3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99E88">
            <w:pPr>
              <w:jc w:val="center"/>
              <w:rPr>
                <w:rFonts w:hint="default" w:ascii="Times New Roman" w:hAnsi="Times New Roman" w:eastAsia="宋体" w:cs="Times New Roman"/>
                <w:i w:val="0"/>
                <w:iCs w:val="0"/>
                <w:color w:val="000000"/>
                <w:sz w:val="20"/>
                <w:szCs w:val="20"/>
                <w:u w:val="none"/>
              </w:rPr>
            </w:pPr>
          </w:p>
        </w:tc>
        <w:tc>
          <w:tcPr>
            <w:tcW w:w="1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A3844">
            <w:pPr>
              <w:jc w:val="center"/>
              <w:rPr>
                <w:rFonts w:hint="eastAsia" w:ascii="宋体" w:hAnsi="宋体" w:eastAsia="宋体" w:cs="宋体"/>
                <w:i w:val="0"/>
                <w:iCs w:val="0"/>
                <w:color w:val="000000"/>
                <w:sz w:val="20"/>
                <w:szCs w:val="20"/>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C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w:t>
            </w:r>
            <w:r>
              <w:rPr>
                <w:rFonts w:hint="eastAsia" w:ascii="宋体" w:hAnsi="宋体" w:cs="宋体"/>
                <w:i w:val="0"/>
                <w:iCs w:val="0"/>
                <w:color w:val="000000"/>
                <w:kern w:val="0"/>
                <w:sz w:val="20"/>
                <w:szCs w:val="20"/>
                <w:u w:val="none"/>
                <w:lang w:val="en-US" w:eastAsia="zh-CN" w:bidi="ar"/>
              </w:rPr>
              <w:t>他</w:t>
            </w:r>
            <w:r>
              <w:rPr>
                <w:rFonts w:hint="eastAsia" w:ascii="宋体" w:hAnsi="宋体" w:eastAsia="宋体" w:cs="宋体"/>
                <w:i w:val="0"/>
                <w:iCs w:val="0"/>
                <w:color w:val="000000"/>
                <w:kern w:val="0"/>
                <w:sz w:val="20"/>
                <w:szCs w:val="20"/>
                <w:u w:val="none"/>
                <w:lang w:val="en-US" w:eastAsia="zh-CN" w:bidi="ar"/>
              </w:rPr>
              <w:t>养殖区</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4D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sz w:val="20"/>
                <w:szCs w:val="20"/>
                <w:u w:val="none"/>
                <w:lang w:val="en-US" w:eastAsia="zh-CN"/>
              </w:rPr>
              <w:t>120.836</w:t>
            </w:r>
            <w:r>
              <w:rPr>
                <w:rFonts w:hint="eastAsia" w:cs="Times New Roman"/>
                <w:i w:val="0"/>
                <w:iCs w:val="0"/>
                <w:color w:val="000000"/>
                <w:sz w:val="20"/>
                <w:szCs w:val="20"/>
                <w:u w:val="none"/>
                <w:lang w:val="en-US" w:eastAsia="zh-CN"/>
              </w:rPr>
              <w:t>0</w:t>
            </w:r>
          </w:p>
        </w:tc>
      </w:tr>
      <w:tr w14:paraId="428D9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trPr>
        <w:tc>
          <w:tcPr>
            <w:tcW w:w="3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4D4BD">
            <w:pPr>
              <w:jc w:val="center"/>
              <w:rPr>
                <w:rFonts w:hint="default" w:ascii="Times New Roman" w:hAnsi="Times New Roman" w:eastAsia="宋体" w:cs="Times New Roman"/>
                <w:i w:val="0"/>
                <w:iCs w:val="0"/>
                <w:color w:val="000000"/>
                <w:sz w:val="20"/>
                <w:szCs w:val="20"/>
                <w:u w:val="none"/>
              </w:rPr>
            </w:pPr>
          </w:p>
        </w:tc>
        <w:tc>
          <w:tcPr>
            <w:tcW w:w="1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D7A4E">
            <w:pPr>
              <w:jc w:val="center"/>
              <w:rPr>
                <w:rFonts w:hint="eastAsia" w:ascii="宋体" w:hAnsi="宋体" w:eastAsia="宋体" w:cs="宋体"/>
                <w:i w:val="0"/>
                <w:iCs w:val="0"/>
                <w:color w:val="000000"/>
                <w:sz w:val="20"/>
                <w:szCs w:val="20"/>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1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33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463.544</w:t>
            </w:r>
            <w:r>
              <w:rPr>
                <w:rFonts w:hint="eastAsia" w:cs="Times New Roman"/>
                <w:i w:val="0"/>
                <w:iCs w:val="0"/>
                <w:color w:val="000000"/>
                <w:sz w:val="20"/>
                <w:szCs w:val="20"/>
                <w:u w:val="none"/>
                <w:lang w:val="en-US" w:eastAsia="zh-CN"/>
              </w:rPr>
              <w:t>6</w:t>
            </w:r>
          </w:p>
        </w:tc>
      </w:tr>
    </w:tbl>
    <w:p w14:paraId="56A39664">
      <w:pPr>
        <w:pStyle w:val="35"/>
        <w:ind w:left="4720" w:leftChars="0" w:hanging="4720" w:firstLineChars="0"/>
        <w:jc w:val="center"/>
        <w:rPr>
          <w:rFonts w:hint="eastAsia" w:ascii="黑体" w:hAnsi="黑体" w:eastAsia="黑体" w:cs="黑体"/>
        </w:rPr>
      </w:pPr>
    </w:p>
    <w:p w14:paraId="79257C14">
      <w:pPr>
        <w:pStyle w:val="35"/>
        <w:ind w:left="4720" w:leftChars="0" w:hanging="4720" w:firstLineChars="0"/>
        <w:jc w:val="center"/>
        <w:rPr>
          <w:rFonts w:hint="eastAsia" w:ascii="黑体" w:hAnsi="黑体" w:eastAsia="黑体" w:cs="黑体"/>
        </w:rPr>
      </w:pPr>
    </w:p>
    <w:p w14:paraId="17FDD1C1">
      <w:pPr>
        <w:pStyle w:val="35"/>
        <w:ind w:left="4720" w:leftChars="0" w:hanging="4720" w:firstLineChars="0"/>
        <w:jc w:val="center"/>
        <w:rPr>
          <w:rFonts w:hint="eastAsia" w:ascii="黑体" w:hAnsi="黑体" w:eastAsia="黑体" w:cs="黑体"/>
        </w:rPr>
      </w:pPr>
    </w:p>
    <w:p w14:paraId="7536A89E">
      <w:pPr>
        <w:pStyle w:val="35"/>
        <w:ind w:left="4720" w:leftChars="0" w:hanging="4720" w:firstLineChars="0"/>
        <w:jc w:val="center"/>
      </w:pPr>
      <w:r>
        <w:rPr>
          <w:rFonts w:hint="eastAsia" w:ascii="黑体" w:hAnsi="黑体" w:eastAsia="黑体" w:cs="黑体"/>
        </w:rPr>
        <w:t>表3-</w:t>
      </w:r>
      <w:r>
        <w:rPr>
          <w:rFonts w:hint="eastAsia" w:ascii="黑体" w:hAnsi="黑体" w:eastAsia="黑体" w:cs="黑体"/>
          <w:lang w:val="en-US" w:eastAsia="zh-CN"/>
        </w:rPr>
        <w:t>22</w:t>
      </w:r>
      <w:r>
        <w:rPr>
          <w:rFonts w:hint="eastAsia" w:ascii="黑体" w:hAnsi="黑体" w:eastAsia="黑体" w:cs="黑体"/>
        </w:rPr>
        <w:t xml:space="preserve"> </w:t>
      </w:r>
      <w:r>
        <w:rPr>
          <w:rFonts w:hint="eastAsia" w:ascii="黑体" w:hAnsi="黑体" w:eastAsia="黑体" w:cs="黑体"/>
          <w:lang w:eastAsia="zh-CN"/>
        </w:rPr>
        <w:t>友好区</w:t>
      </w:r>
      <w:r>
        <w:rPr>
          <w:rFonts w:hint="eastAsia" w:ascii="黑体" w:hAnsi="黑体" w:eastAsia="黑体" w:cs="黑体"/>
          <w:lang w:val="en-US" w:eastAsia="zh-CN"/>
        </w:rPr>
        <w:t>各乡镇</w:t>
      </w:r>
      <w:r>
        <w:rPr>
          <w:rFonts w:hint="eastAsia" w:ascii="黑体" w:hAnsi="黑体" w:eastAsia="黑体" w:cs="黑体"/>
        </w:rPr>
        <w:t>养殖水域滩涂养殖区</w:t>
      </w:r>
      <w:r>
        <w:rPr>
          <w:rFonts w:hint="eastAsia" w:ascii="黑体" w:hAnsi="黑体" w:eastAsia="黑体" w:cs="黑体"/>
          <w:lang w:val="en-US" w:eastAsia="zh-CN"/>
        </w:rPr>
        <w:t>面积</w:t>
      </w:r>
      <w:r>
        <w:rPr>
          <w:rFonts w:hint="eastAsia" w:ascii="黑体" w:hAnsi="黑体" w:eastAsia="黑体" w:cs="黑体"/>
        </w:rPr>
        <w:t>统计表</w:t>
      </w:r>
    </w:p>
    <w:tbl>
      <w:tblPr>
        <w:tblStyle w:val="21"/>
        <w:tblW w:w="90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80"/>
        <w:gridCol w:w="1391"/>
        <w:gridCol w:w="1502"/>
        <w:gridCol w:w="1251"/>
        <w:gridCol w:w="1225"/>
        <w:gridCol w:w="1388"/>
      </w:tblGrid>
      <w:tr w14:paraId="65F3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blHeader/>
        </w:trPr>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B0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行政区名称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7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水库水面</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1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坑塘水面</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9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养殖坑塘</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D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内陆滩涂</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4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r>
      <w:tr w14:paraId="64DCC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4" w:hRule="atLeast"/>
          <w:tblHeader/>
        </w:trPr>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4DC31">
            <w:pPr>
              <w:jc w:val="center"/>
              <w:rPr>
                <w:rFonts w:hint="eastAsia" w:ascii="宋体" w:hAnsi="宋体" w:eastAsia="宋体" w:cs="宋体"/>
                <w:i w:val="0"/>
                <w:iCs w:val="0"/>
                <w:color w:val="000000"/>
                <w:sz w:val="20"/>
                <w:szCs w:val="20"/>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42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面积</w:t>
            </w:r>
          </w:p>
          <w:p w14:paraId="22D8C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5E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面积</w:t>
            </w:r>
          </w:p>
          <w:p w14:paraId="2650F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5B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面积</w:t>
            </w:r>
          </w:p>
          <w:p w14:paraId="67CD8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D6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面积</w:t>
            </w:r>
          </w:p>
          <w:p w14:paraId="7F9F0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9E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面积</w:t>
            </w:r>
          </w:p>
          <w:p w14:paraId="7D0E0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（公顷）</w:t>
            </w:r>
          </w:p>
        </w:tc>
      </w:tr>
      <w:tr w14:paraId="200A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B21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友好街道</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6A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F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235.411</w:t>
            </w:r>
            <w:r>
              <w:rPr>
                <w:rFonts w:hint="eastAsia" w:cs="Times New Roman"/>
                <w:i w:val="0"/>
                <w:iCs w:val="0"/>
                <w:color w:val="000000"/>
                <w:sz w:val="20"/>
                <w:szCs w:val="20"/>
                <w:u w:val="none"/>
                <w:lang w:val="en-US" w:eastAsia="zh-CN"/>
              </w:rPr>
              <w:t>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F1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1.4358</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22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105.510</w:t>
            </w:r>
            <w:r>
              <w:rPr>
                <w:rFonts w:hint="eastAsia" w:cs="Times New Roman"/>
                <w:i w:val="0"/>
                <w:iCs w:val="0"/>
                <w:color w:val="000000"/>
                <w:sz w:val="20"/>
                <w:szCs w:val="20"/>
                <w:u w:val="none"/>
                <w:lang w:val="en-US" w:eastAsia="zh-CN"/>
              </w:rPr>
              <w:t>8</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7B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3</w:t>
            </w:r>
            <w:r>
              <w:rPr>
                <w:rFonts w:hint="default" w:ascii="Times New Roman" w:hAnsi="Times New Roman" w:eastAsia="宋体" w:cs="Times New Roman"/>
                <w:i w:val="0"/>
                <w:iCs w:val="0"/>
                <w:color w:val="000000"/>
                <w:sz w:val="20"/>
                <w:szCs w:val="20"/>
                <w:u w:val="none"/>
                <w:lang w:val="en-US" w:eastAsia="zh-CN"/>
              </w:rPr>
              <w:t>42.357</w:t>
            </w:r>
            <w:r>
              <w:rPr>
                <w:rFonts w:hint="eastAsia" w:cs="Times New Roman"/>
                <w:i w:val="0"/>
                <w:iCs w:val="0"/>
                <w:color w:val="000000"/>
                <w:sz w:val="20"/>
                <w:szCs w:val="20"/>
                <w:u w:val="none"/>
                <w:lang w:val="en-US" w:eastAsia="zh-CN"/>
              </w:rPr>
              <w:t>7</w:t>
            </w:r>
          </w:p>
        </w:tc>
      </w:tr>
      <w:tr w14:paraId="59A5B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152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上甘岭镇</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8C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14.5460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16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75.0499</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24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13.4455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73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15.3252</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EE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118.3666</w:t>
            </w:r>
          </w:p>
        </w:tc>
      </w:tr>
      <w:tr w14:paraId="10ECA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262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双子河街道</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955D">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16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cs="Times New Roman"/>
                <w:i w:val="0"/>
                <w:iCs w:val="0"/>
                <w:color w:val="000000"/>
                <w:sz w:val="20"/>
                <w:szCs w:val="20"/>
                <w:u w:val="none"/>
                <w:lang w:val="en-US" w:eastAsia="zh-CN"/>
              </w:rPr>
              <w:t>2.8203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EC14">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C183">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0</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9D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2.8203</w:t>
            </w:r>
          </w:p>
        </w:tc>
      </w:tr>
      <w:tr w14:paraId="52975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DA2C">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合计</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FA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cs="Times New Roman"/>
                <w:i w:val="0"/>
                <w:iCs w:val="0"/>
                <w:color w:val="000000"/>
                <w:sz w:val="20"/>
                <w:szCs w:val="20"/>
                <w:u w:val="none"/>
                <w:lang w:val="en-US" w:eastAsia="zh-CN"/>
              </w:rPr>
              <w:t>14.5460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BA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313.2813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92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cs="Times New Roman"/>
                <w:i w:val="0"/>
                <w:iCs w:val="0"/>
                <w:color w:val="000000"/>
                <w:sz w:val="20"/>
                <w:szCs w:val="20"/>
                <w:u w:val="none"/>
                <w:lang w:val="en-US" w:eastAsia="zh-CN"/>
              </w:rPr>
              <w:t>14.8813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B1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120.8360</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C3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463.544</w:t>
            </w:r>
            <w:r>
              <w:rPr>
                <w:rFonts w:hint="eastAsia" w:cs="Times New Roman"/>
                <w:i w:val="0"/>
                <w:iCs w:val="0"/>
                <w:color w:val="000000"/>
                <w:sz w:val="20"/>
                <w:szCs w:val="20"/>
                <w:u w:val="none"/>
                <w:lang w:val="en-US" w:eastAsia="zh-CN"/>
              </w:rPr>
              <w:t>6</w:t>
            </w:r>
          </w:p>
        </w:tc>
      </w:tr>
    </w:tbl>
    <w:p w14:paraId="6480395E">
      <w:pPr>
        <w:pStyle w:val="4"/>
        <w:keepNext w:val="0"/>
        <w:keepLines w:val="0"/>
        <w:pageBreakBefore w:val="0"/>
        <w:widowControl w:val="0"/>
        <w:numPr>
          <w:ilvl w:val="0"/>
          <w:numId w:val="0"/>
        </w:numPr>
        <w:kinsoku/>
        <w:wordWrap/>
        <w:overflowPunct/>
        <w:topLinePunct w:val="0"/>
        <w:autoSpaceDE/>
        <w:autoSpaceDN/>
        <w:bidi w:val="0"/>
        <w:adjustRightInd w:val="0"/>
        <w:snapToGrid/>
        <w:ind w:firstLine="600" w:firstLineChars="200"/>
        <w:jc w:val="both"/>
        <w:textAlignment w:val="auto"/>
        <w:outlineLvl w:val="2"/>
        <w:rPr>
          <w:rFonts w:hint="eastAsia" w:ascii="Times New Roman" w:hAnsi="Times New Roman" w:eastAsia="黑体" w:cs="Times New Roman"/>
          <w:color w:val="auto"/>
          <w:kern w:val="2"/>
          <w:sz w:val="30"/>
          <w:szCs w:val="24"/>
          <w:lang w:val="en-US" w:eastAsia="zh-CN" w:bidi="ar-SA"/>
        </w:rPr>
      </w:pPr>
      <w:bookmarkStart w:id="316" w:name="_Toc12228"/>
      <w:bookmarkStart w:id="317" w:name="_Toc25005"/>
      <w:bookmarkStart w:id="318" w:name="_Toc19147"/>
      <w:bookmarkStart w:id="319" w:name="_Toc6688"/>
      <w:bookmarkStart w:id="320" w:name="_Toc7964"/>
      <w:r>
        <w:rPr>
          <w:rFonts w:hint="eastAsia" w:ascii="Times New Roman" w:hAnsi="Times New Roman" w:eastAsia="黑体" w:cs="Times New Roman"/>
          <w:color w:val="auto"/>
          <w:kern w:val="2"/>
          <w:sz w:val="30"/>
          <w:szCs w:val="24"/>
          <w:lang w:val="en-US" w:eastAsia="zh-CN" w:bidi="ar-SA"/>
        </w:rPr>
        <w:t>3.</w:t>
      </w:r>
      <w:r>
        <w:rPr>
          <w:rFonts w:hint="eastAsia" w:cs="Times New Roman"/>
          <w:color w:val="auto"/>
          <w:kern w:val="2"/>
          <w:sz w:val="30"/>
          <w:szCs w:val="24"/>
          <w:lang w:val="en-US" w:eastAsia="zh-CN" w:bidi="ar-SA"/>
        </w:rPr>
        <w:t>5</w:t>
      </w:r>
      <w:r>
        <w:rPr>
          <w:rFonts w:hint="eastAsia" w:ascii="Times New Roman" w:hAnsi="Times New Roman" w:eastAsia="黑体" w:cs="Times New Roman"/>
          <w:color w:val="auto"/>
          <w:kern w:val="2"/>
          <w:sz w:val="30"/>
          <w:szCs w:val="24"/>
          <w:lang w:val="en-US" w:eastAsia="zh-CN" w:bidi="ar-SA"/>
        </w:rPr>
        <w:t>.</w:t>
      </w:r>
      <w:r>
        <w:rPr>
          <w:rFonts w:hint="eastAsia" w:cs="Times New Roman"/>
          <w:color w:val="auto"/>
          <w:kern w:val="2"/>
          <w:sz w:val="30"/>
          <w:szCs w:val="24"/>
          <w:lang w:val="en-US" w:eastAsia="zh-CN" w:bidi="ar-SA"/>
        </w:rPr>
        <w:t>2</w:t>
      </w:r>
      <w:r>
        <w:rPr>
          <w:rFonts w:hint="eastAsia" w:ascii="Times New Roman" w:hAnsi="Times New Roman" w:eastAsia="黑体" w:cs="Times New Roman"/>
          <w:color w:val="auto"/>
          <w:kern w:val="2"/>
          <w:sz w:val="30"/>
          <w:szCs w:val="24"/>
          <w:lang w:val="en-US" w:eastAsia="zh-CN" w:bidi="ar-SA"/>
        </w:rPr>
        <w:t xml:space="preserve"> 养殖区管控措施</w:t>
      </w:r>
      <w:bookmarkEnd w:id="316"/>
      <w:bookmarkEnd w:id="317"/>
      <w:bookmarkEnd w:id="318"/>
      <w:bookmarkEnd w:id="319"/>
      <w:bookmarkEnd w:id="320"/>
    </w:p>
    <w:p w14:paraId="32B3DD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（1）</w:t>
      </w:r>
      <w:r>
        <w:rPr>
          <w:rFonts w:ascii="Times New Roman" w:hAnsi="Times New Roman" w:eastAsia="宋体" w:cs="Times New Roman"/>
          <w:color w:val="000000"/>
          <w:kern w:val="2"/>
          <w:sz w:val="28"/>
          <w:szCs w:val="28"/>
          <w:lang w:val="en-US" w:eastAsia="zh-CN" w:bidi="ar-SA"/>
        </w:rPr>
        <w:t>严格养殖空间管控，规范养殖布局严格按照规划确定的养殖区域、面积、类型组织生产，不得擅自扩大养殖范围、改变养殖水域类型、违规占用禁养区和限养区。养殖布局做到集中连片、分区分类、便于管理，推动养殖空间高效利用。</w:t>
      </w:r>
    </w:p>
    <w:p w14:paraId="4D61D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（2）</w:t>
      </w:r>
      <w:r>
        <w:rPr>
          <w:rFonts w:ascii="Times New Roman" w:hAnsi="Times New Roman" w:eastAsia="宋体" w:cs="Times New Roman"/>
          <w:color w:val="000000"/>
          <w:kern w:val="2"/>
          <w:sz w:val="28"/>
          <w:szCs w:val="28"/>
          <w:lang w:val="en-US" w:eastAsia="zh-CN" w:bidi="ar-SA"/>
        </w:rPr>
        <w:t>强化养殖准入管理，依法持证生产养殖生产主体必须依法办理水域滩涂养殖证，实行持证养殖、亮证生产。严格审核养殖规模、养殖模式、环保措施，不符合规划、环保、安全要求的，一律不予审批，从源头规范养殖秩序。</w:t>
      </w:r>
    </w:p>
    <w:p w14:paraId="63C628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（3）</w:t>
      </w:r>
      <w:r>
        <w:rPr>
          <w:rFonts w:ascii="Times New Roman" w:hAnsi="Times New Roman" w:eastAsia="宋体" w:cs="Times New Roman"/>
          <w:color w:val="000000"/>
          <w:kern w:val="2"/>
          <w:sz w:val="28"/>
          <w:szCs w:val="28"/>
          <w:lang w:val="en-US" w:eastAsia="zh-CN" w:bidi="ar-SA"/>
        </w:rPr>
        <w:t>推进养殖设施标准化、生态化改造对现有养殖池塘、坑塘、水库开展连片整治、标准化改造、生态化提升，完善进排水、增氧、投喂、尾水治理等设施。推广生态塘、循环水、微孔增氧等绿色设施装备，提升养殖现代化水平。</w:t>
      </w:r>
    </w:p>
    <w:p w14:paraId="57EB5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（4）</w:t>
      </w:r>
      <w:r>
        <w:rPr>
          <w:rFonts w:ascii="Times New Roman" w:hAnsi="Times New Roman" w:eastAsia="宋体" w:cs="Times New Roman"/>
          <w:color w:val="000000"/>
          <w:kern w:val="2"/>
          <w:sz w:val="28"/>
          <w:szCs w:val="28"/>
          <w:lang w:val="en-US" w:eastAsia="zh-CN" w:bidi="ar-SA"/>
        </w:rPr>
        <w:t>推广生态健康养殖模式与技术全面推行生态健康养殖、净水养殖、低密度养殖模式，优化养殖品种结构，主推本地特色、冷水性、抗病优质品种。科学控制养殖密度，严禁高密度粗放养殖，推广生态防控、生物制剂、绿色渔药，减少化学投入品使用。</w:t>
      </w:r>
    </w:p>
    <w:p w14:paraId="50A24C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（5）</w:t>
      </w:r>
      <w:r>
        <w:rPr>
          <w:rFonts w:ascii="Times New Roman" w:hAnsi="Times New Roman" w:eastAsia="宋体" w:cs="Times New Roman"/>
          <w:color w:val="000000"/>
          <w:kern w:val="2"/>
          <w:sz w:val="28"/>
          <w:szCs w:val="28"/>
          <w:lang w:val="en-US" w:eastAsia="zh-CN" w:bidi="ar-SA"/>
        </w:rPr>
        <w:t>严格养殖尾水治理与达标排放养殖主体必须配套建设尾水沉淀、过滤、生态沟渠、人工湿地等净化设施，实现尾水循环利用或达标排放，严禁未经处理直排。建立尾水治理台账，定期监测水质，确保养殖污染可控。</w:t>
      </w:r>
    </w:p>
    <w:p w14:paraId="66BA12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（6）</w:t>
      </w:r>
      <w:r>
        <w:rPr>
          <w:rFonts w:ascii="Times New Roman" w:hAnsi="Times New Roman" w:eastAsia="宋体" w:cs="Times New Roman"/>
          <w:color w:val="000000"/>
          <w:kern w:val="2"/>
          <w:sz w:val="28"/>
          <w:szCs w:val="28"/>
          <w:lang w:val="en-US" w:eastAsia="zh-CN" w:bidi="ar-SA"/>
        </w:rPr>
        <w:t>加强投入品与质量安全管控严格执行渔用饲料、兽药、添加剂等投入品使用规定，严禁使用违禁药品、禁用添加剂、不合格饲料。建立养殖生产记录、用药记录、销售记录制度，推进水产品质量安全追溯体系建设，保障舌尖上的安全。</w:t>
      </w:r>
    </w:p>
    <w:p w14:paraId="0554A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（7）</w:t>
      </w:r>
      <w:r>
        <w:rPr>
          <w:rFonts w:ascii="Times New Roman" w:hAnsi="Times New Roman" w:eastAsia="宋体" w:cs="Times New Roman"/>
          <w:color w:val="000000"/>
          <w:kern w:val="2"/>
          <w:sz w:val="28"/>
          <w:szCs w:val="28"/>
          <w:lang w:val="en-US" w:eastAsia="zh-CN" w:bidi="ar-SA"/>
        </w:rPr>
        <w:t>严控养殖污染与生态保护加强养殖废弃物、病死鱼类无害化处理，严禁随意丢弃、填埋或直排水体。保护水域岸线、滩涂植被与水生生物栖息地，定期开展增殖放流，维护水域生态平衡，提升水体自净能力。</w:t>
      </w:r>
    </w:p>
    <w:p w14:paraId="459896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（8）</w:t>
      </w:r>
      <w:r>
        <w:rPr>
          <w:rFonts w:ascii="Times New Roman" w:hAnsi="Times New Roman" w:eastAsia="宋体" w:cs="Times New Roman"/>
          <w:color w:val="000000"/>
          <w:kern w:val="2"/>
          <w:sz w:val="28"/>
          <w:szCs w:val="28"/>
          <w:lang w:val="en-US" w:eastAsia="zh-CN" w:bidi="ar-SA"/>
        </w:rPr>
        <w:t>强化日常监管与执法巡查建立常态化巡查监管机制，落实属地管理责任，联合渔业、生态环境、水利、自然资源等部门开展执法检查，依法查处无证养殖、超规模养殖、污染水体等行为，保障养殖秩序规范有序。</w:t>
      </w:r>
    </w:p>
    <w:p w14:paraId="679BC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eastAsia="zh-CN" w:bidi="ar-SA"/>
        </w:rPr>
        <w:t>（</w:t>
      </w:r>
      <w:r>
        <w:rPr>
          <w:rFonts w:hint="eastAsia" w:ascii="Times New Roman" w:hAnsi="Times New Roman" w:eastAsia="宋体" w:cs="Times New Roman"/>
          <w:color w:val="000000"/>
          <w:kern w:val="2"/>
          <w:sz w:val="28"/>
          <w:szCs w:val="28"/>
          <w:lang w:val="en-US" w:eastAsia="zh-CN" w:bidi="ar-SA"/>
        </w:rPr>
        <w:t>9</w:t>
      </w:r>
      <w:r>
        <w:rPr>
          <w:rFonts w:hint="eastAsia" w:ascii="Times New Roman" w:hAnsi="Times New Roman" w:eastAsia="宋体" w:cs="Times New Roman"/>
          <w:color w:val="000000"/>
          <w:kern w:val="2"/>
          <w:sz w:val="28"/>
          <w:szCs w:val="28"/>
          <w:lang w:eastAsia="zh-CN" w:bidi="ar-SA"/>
        </w:rPr>
        <w:t>）</w:t>
      </w:r>
      <w:r>
        <w:rPr>
          <w:rFonts w:ascii="Times New Roman" w:hAnsi="Times New Roman" w:eastAsia="宋体" w:cs="Times New Roman"/>
          <w:color w:val="000000"/>
          <w:kern w:val="2"/>
          <w:sz w:val="28"/>
          <w:szCs w:val="28"/>
          <w:lang w:val="en-US" w:eastAsia="zh-CN" w:bidi="ar-SA"/>
        </w:rPr>
        <w:t>推动产业提质增效与品牌化发展鼓励发展稻渔综合种养、生态休闲渔业、冷水鱼特色养殖，延伸产业链、提升价值链。培育区域生态渔业公共品牌，提升产品附加值和市场竞争力，实现生态效益、经济效益、社会效益统一。</w:t>
      </w:r>
    </w:p>
    <w:p w14:paraId="3C3EC4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ascii="Times New Roman" w:hAnsi="Times New Roman" w:eastAsia="宋体" w:cs="Times New Roman"/>
          <w:color w:val="000000"/>
          <w:kern w:val="2"/>
          <w:sz w:val="28"/>
          <w:szCs w:val="28"/>
          <w:lang w:bidi="ar-SA"/>
        </w:rPr>
      </w:pPr>
      <w:r>
        <w:rPr>
          <w:rFonts w:hint="eastAsia" w:ascii="Times New Roman" w:hAnsi="Times New Roman" w:eastAsia="宋体" w:cs="Times New Roman"/>
          <w:color w:val="000000"/>
          <w:kern w:val="2"/>
          <w:sz w:val="28"/>
          <w:szCs w:val="28"/>
          <w:lang w:val="en-US" w:eastAsia="zh-CN" w:bidi="ar-SA"/>
        </w:rPr>
        <w:t>（10）</w:t>
      </w:r>
      <w:r>
        <w:rPr>
          <w:rFonts w:ascii="Times New Roman" w:hAnsi="Times New Roman" w:eastAsia="宋体" w:cs="Times New Roman"/>
          <w:color w:val="000000"/>
          <w:kern w:val="2"/>
          <w:sz w:val="28"/>
          <w:szCs w:val="28"/>
          <w:lang w:val="en-US" w:eastAsia="zh-CN" w:bidi="ar-SA"/>
        </w:rPr>
        <w:t>建立动态监测与长效管理机制对养殖区水质、养殖容量、设施运行、生产经营等情况开展动态监测，根据生态承载力适时调整管控措施，确保养殖区可持续利用、高质量发展。</w:t>
      </w:r>
    </w:p>
    <w:p w14:paraId="5232D827">
      <w:pPr>
        <w:pStyle w:val="2"/>
        <w:numPr>
          <w:ilvl w:val="0"/>
          <w:numId w:val="1"/>
        </w:numPr>
        <w:ind w:left="0" w:leftChars="0" w:firstLine="0" w:firstLineChars="0"/>
        <w:jc w:val="center"/>
      </w:pPr>
      <w:bookmarkStart w:id="321" w:name="_Toc10481"/>
      <w:bookmarkStart w:id="322" w:name="_Toc24602"/>
      <w:bookmarkStart w:id="323" w:name="_Toc9468"/>
      <w:bookmarkStart w:id="324" w:name="_Toc1909"/>
      <w:bookmarkStart w:id="325" w:name="_Toc13807"/>
      <w:bookmarkStart w:id="326" w:name="_Toc19853"/>
      <w:r>
        <w:rPr>
          <w:rFonts w:hint="eastAsia"/>
          <w:b w:val="0"/>
          <w:lang w:val="en-US" w:eastAsia="zh-CN"/>
        </w:rPr>
        <w:t>环境影响评估</w:t>
      </w:r>
      <w:bookmarkEnd w:id="321"/>
      <w:bookmarkEnd w:id="322"/>
      <w:bookmarkEnd w:id="323"/>
      <w:bookmarkEnd w:id="324"/>
      <w:bookmarkEnd w:id="325"/>
      <w:bookmarkEnd w:id="326"/>
    </w:p>
    <w:p w14:paraId="276FE2B3">
      <w:pPr>
        <w:pStyle w:val="3"/>
        <w:numPr>
          <w:ilvl w:val="0"/>
          <w:numId w:val="0"/>
        </w:numPr>
        <w:ind w:leftChars="200"/>
        <w:jc w:val="both"/>
        <w:rPr>
          <w:rFonts w:hint="eastAsia"/>
          <w:lang w:val="en-US" w:eastAsia="zh-CN"/>
        </w:rPr>
      </w:pPr>
      <w:bookmarkStart w:id="327" w:name="_Toc7343"/>
      <w:bookmarkStart w:id="328" w:name="_Toc21482"/>
      <w:bookmarkStart w:id="329" w:name="_Toc11650"/>
      <w:bookmarkStart w:id="330" w:name="_Toc12836"/>
      <w:bookmarkStart w:id="331" w:name="_Toc14402"/>
      <w:r>
        <w:rPr>
          <w:rFonts w:hint="eastAsia"/>
          <w:lang w:val="en-US" w:eastAsia="zh-CN"/>
        </w:rPr>
        <w:t>4.1评估标准</w:t>
      </w:r>
      <w:bookmarkEnd w:id="327"/>
      <w:bookmarkEnd w:id="328"/>
      <w:bookmarkEnd w:id="329"/>
      <w:bookmarkEnd w:id="330"/>
      <w:bookmarkEnd w:id="331"/>
      <w:r>
        <w:rPr>
          <w:rFonts w:hint="eastAsia"/>
          <w:lang w:val="en-US" w:eastAsia="zh-CN"/>
        </w:rPr>
        <w:t xml:space="preserve"> </w:t>
      </w:r>
    </w:p>
    <w:p w14:paraId="4AA2DF80">
      <w:pPr>
        <w:keepNext w:val="0"/>
        <w:keepLines w:val="0"/>
        <w:widowControl/>
        <w:suppressLineNumbers w:val="0"/>
        <w:ind w:firstLine="560" w:firstLineChars="200"/>
        <w:jc w:val="left"/>
        <w:rPr>
          <w:rFonts w:ascii="Times New Roman" w:hAnsi="Times New Roman" w:eastAsia="宋体" w:cs="Times New Roman"/>
          <w:color w:val="000000"/>
          <w:kern w:val="2"/>
          <w:sz w:val="28"/>
          <w:szCs w:val="28"/>
          <w:lang w:bidi="ar-SA"/>
        </w:rPr>
      </w:pPr>
      <w:r>
        <w:rPr>
          <w:rFonts w:hint="default" w:ascii="Times New Roman" w:hAnsi="Times New Roman" w:eastAsia="宋体" w:cs="Times New Roman"/>
          <w:color w:val="000000"/>
          <w:kern w:val="2"/>
          <w:sz w:val="28"/>
          <w:szCs w:val="28"/>
          <w:lang w:val="en-US" w:eastAsia="zh-CN" w:bidi="ar-SA"/>
        </w:rPr>
        <w:t>本规划环境影响评价以水环境影响为核心评价内容，评价标准参照《地表水环境质量标准》（GB 3838—2002）、《渔业水质标准》（GB 11607—1989）及</w:t>
      </w:r>
      <w:r>
        <w:rPr>
          <w:rFonts w:hint="eastAsia" w:cs="Times New Roman"/>
          <w:color w:val="000000"/>
          <w:kern w:val="2"/>
          <w:sz w:val="28"/>
          <w:szCs w:val="28"/>
          <w:lang w:val="en-US" w:eastAsia="zh-CN" w:bidi="ar-SA"/>
        </w:rPr>
        <w:t>友好区</w:t>
      </w:r>
      <w:r>
        <w:rPr>
          <w:rFonts w:hint="default" w:ascii="Times New Roman" w:hAnsi="Times New Roman" w:eastAsia="宋体" w:cs="Times New Roman"/>
          <w:color w:val="000000"/>
          <w:kern w:val="2"/>
          <w:sz w:val="28"/>
          <w:szCs w:val="28"/>
          <w:lang w:val="en-US" w:eastAsia="zh-CN" w:bidi="ar-SA"/>
        </w:rPr>
        <w:t xml:space="preserve">生态环境保护相关管控要求执行。 </w:t>
      </w:r>
    </w:p>
    <w:p w14:paraId="205F1206">
      <w:pPr>
        <w:pStyle w:val="3"/>
        <w:numPr>
          <w:ilvl w:val="0"/>
          <w:numId w:val="0"/>
        </w:numPr>
        <w:ind w:leftChars="200"/>
        <w:jc w:val="both"/>
        <w:rPr>
          <w:rFonts w:hint="default"/>
          <w:lang w:val="en-US" w:eastAsia="zh-CN"/>
        </w:rPr>
      </w:pPr>
      <w:bookmarkStart w:id="332" w:name="_Toc14644"/>
      <w:bookmarkStart w:id="333" w:name="_Toc22263"/>
      <w:bookmarkStart w:id="334" w:name="_Toc23088"/>
      <w:bookmarkStart w:id="335" w:name="_Toc4168"/>
      <w:bookmarkStart w:id="336" w:name="_Toc15342"/>
      <w:r>
        <w:rPr>
          <w:rFonts w:hint="eastAsia"/>
          <w:lang w:val="en-US" w:eastAsia="zh-CN"/>
        </w:rPr>
        <w:t>4.2</w:t>
      </w:r>
      <w:r>
        <w:rPr>
          <w:rFonts w:hint="default"/>
          <w:lang w:val="en-US" w:eastAsia="zh-CN"/>
        </w:rPr>
        <w:t>水产养殖污染源分析</w:t>
      </w:r>
      <w:bookmarkEnd w:id="332"/>
      <w:bookmarkEnd w:id="333"/>
      <w:bookmarkEnd w:id="334"/>
      <w:bookmarkEnd w:id="335"/>
      <w:bookmarkEnd w:id="336"/>
      <w:r>
        <w:rPr>
          <w:rFonts w:hint="default"/>
          <w:lang w:val="en-US" w:eastAsia="zh-CN"/>
        </w:rPr>
        <w:t xml:space="preserve"> </w:t>
      </w:r>
    </w:p>
    <w:p w14:paraId="4FD4094B">
      <w:pPr>
        <w:keepNext w:val="0"/>
        <w:keepLines w:val="0"/>
        <w:widowControl/>
        <w:suppressLineNumbers w:val="0"/>
        <w:ind w:firstLine="560" w:firstLineChars="200"/>
        <w:jc w:val="left"/>
        <w:rPr>
          <w:rFonts w:ascii="Times New Roman" w:hAnsi="Times New Roman" w:eastAsia="宋体" w:cs="Times New Roman"/>
          <w:color w:val="000000"/>
          <w:kern w:val="2"/>
          <w:sz w:val="28"/>
          <w:szCs w:val="28"/>
          <w:lang w:val="en-US" w:eastAsia="zh-CN" w:bidi="ar-SA"/>
        </w:rPr>
      </w:pPr>
      <w:r>
        <w:rPr>
          <w:rFonts w:ascii="Times New Roman" w:hAnsi="Times New Roman" w:eastAsia="宋体" w:cs="Times New Roman"/>
          <w:color w:val="000000"/>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1</w:t>
      </w:r>
      <w:r>
        <w:rPr>
          <w:rFonts w:ascii="Times New Roman" w:hAnsi="Times New Roman" w:eastAsia="宋体" w:cs="Times New Roman"/>
          <w:color w:val="000000"/>
          <w:kern w:val="2"/>
          <w:sz w:val="28"/>
          <w:szCs w:val="28"/>
          <w:lang w:val="en-US" w:eastAsia="zh-CN" w:bidi="ar-SA"/>
        </w:rPr>
        <w:t>）养殖残饵污染投喂后未被摄食的残饵是主要污染源，富含氮、磷等营养盐、悬浮颗粒物及耗氧有机物，易造成水体富营养化、透明度下降、溶解氧降低，直接影响水域生态环境。</w:t>
      </w:r>
    </w:p>
    <w:p w14:paraId="6BE73F2E">
      <w:pPr>
        <w:keepNext w:val="0"/>
        <w:keepLines w:val="0"/>
        <w:widowControl/>
        <w:suppressLineNumbers w:val="0"/>
        <w:ind w:firstLine="560" w:firstLineChars="200"/>
        <w:jc w:val="left"/>
        <w:rPr>
          <w:rFonts w:ascii="Times New Roman" w:hAnsi="Times New Roman" w:eastAsia="宋体" w:cs="Times New Roman"/>
          <w:color w:val="000000"/>
          <w:kern w:val="2"/>
          <w:sz w:val="28"/>
          <w:szCs w:val="28"/>
          <w:lang w:val="en-US" w:eastAsia="zh-CN" w:bidi="ar-SA"/>
        </w:rPr>
      </w:pPr>
      <w:r>
        <w:rPr>
          <w:rFonts w:ascii="Times New Roman" w:hAnsi="Times New Roman" w:eastAsia="宋体" w:cs="Times New Roman"/>
          <w:color w:val="000000"/>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2</w:t>
      </w:r>
      <w:r>
        <w:rPr>
          <w:rFonts w:ascii="Times New Roman" w:hAnsi="Times New Roman" w:eastAsia="宋体" w:cs="Times New Roman"/>
          <w:color w:val="000000"/>
          <w:kern w:val="2"/>
          <w:sz w:val="28"/>
          <w:szCs w:val="28"/>
          <w:lang w:val="en-US" w:eastAsia="zh-CN" w:bidi="ar-SA"/>
        </w:rPr>
        <w:t>）渔用药物及投入品污染清塘药剂、消毒剂、杀虫药、底质改良剂、微生态制剂等投入品使用后，仅少量被养殖动物吸收，大部分进入水体或沉积底泥，若使用不规范易造成水体药残、底质污染及生态风险。</w:t>
      </w:r>
    </w:p>
    <w:p w14:paraId="63CC717E">
      <w:pPr>
        <w:keepNext w:val="0"/>
        <w:keepLines w:val="0"/>
        <w:widowControl/>
        <w:suppressLineNumbers w:val="0"/>
        <w:ind w:firstLine="560" w:firstLineChars="200"/>
        <w:jc w:val="left"/>
        <w:rPr>
          <w:rFonts w:ascii="Times New Roman" w:hAnsi="Times New Roman" w:eastAsia="宋体" w:cs="Times New Roman"/>
          <w:color w:val="000000"/>
          <w:kern w:val="2"/>
          <w:sz w:val="28"/>
          <w:szCs w:val="28"/>
          <w:lang w:val="en-US" w:eastAsia="zh-CN" w:bidi="ar-SA"/>
        </w:rPr>
      </w:pPr>
      <w:r>
        <w:rPr>
          <w:rFonts w:ascii="Times New Roman" w:hAnsi="Times New Roman" w:eastAsia="宋体" w:cs="Times New Roman"/>
          <w:color w:val="000000"/>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3</w:t>
      </w:r>
      <w:r>
        <w:rPr>
          <w:rFonts w:ascii="Times New Roman" w:hAnsi="Times New Roman" w:eastAsia="宋体" w:cs="Times New Roman"/>
          <w:color w:val="000000"/>
          <w:kern w:val="2"/>
          <w:sz w:val="28"/>
          <w:szCs w:val="28"/>
          <w:lang w:val="en-US" w:eastAsia="zh-CN" w:bidi="ar-SA"/>
        </w:rPr>
        <w:t>）水产养殖代谢产物养殖鱼类排泄、分泌等代谢产物持续进入水体，导致水体氮、磷浓度升高，加剧水体负荷；部分藻类、水生生物代谢产物可产生藻毒素等有害物质，威胁水质安全与生物健康。</w:t>
      </w:r>
    </w:p>
    <w:p w14:paraId="755549A6">
      <w:pPr>
        <w:keepNext w:val="0"/>
        <w:keepLines w:val="0"/>
        <w:widowControl/>
        <w:suppressLineNumbers w:val="0"/>
        <w:ind w:firstLine="560" w:firstLineChars="200"/>
        <w:jc w:val="left"/>
        <w:rPr>
          <w:rFonts w:ascii="Times New Roman" w:hAnsi="Times New Roman" w:eastAsia="宋体" w:cs="Times New Roman"/>
          <w:color w:val="000000"/>
          <w:kern w:val="2"/>
          <w:sz w:val="28"/>
          <w:szCs w:val="28"/>
          <w:lang w:val="en-US" w:eastAsia="zh-CN" w:bidi="ar-SA"/>
        </w:rPr>
      </w:pPr>
      <w:r>
        <w:rPr>
          <w:rFonts w:ascii="Times New Roman" w:hAnsi="Times New Roman" w:eastAsia="宋体" w:cs="Times New Roman"/>
          <w:color w:val="000000"/>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4</w:t>
      </w:r>
      <w:r>
        <w:rPr>
          <w:rFonts w:ascii="Times New Roman" w:hAnsi="Times New Roman" w:eastAsia="宋体" w:cs="Times New Roman"/>
          <w:color w:val="000000"/>
          <w:kern w:val="2"/>
          <w:sz w:val="28"/>
          <w:szCs w:val="28"/>
          <w:lang w:val="en-US" w:eastAsia="zh-CN" w:bidi="ar-SA"/>
        </w:rPr>
        <w:t>）养殖池塘底泥污染水体中残饵、粪便、有机物等经沉降富集于底泥，成为氮磷内源负荷库，在扰动、换水、清塘等情况下易形成二次污染，造成水体指标反弹。</w:t>
      </w:r>
    </w:p>
    <w:p w14:paraId="11A798A3">
      <w:pPr>
        <w:keepNext w:val="0"/>
        <w:keepLines w:val="0"/>
        <w:widowControl/>
        <w:suppressLineNumbers w:val="0"/>
        <w:ind w:firstLine="560" w:firstLineChars="200"/>
        <w:jc w:val="left"/>
        <w:rPr>
          <w:rFonts w:hint="default" w:ascii="Times New Roman" w:hAnsi="Times New Roman" w:eastAsia="宋体" w:cs="Times New Roman"/>
          <w:color w:val="000000"/>
          <w:kern w:val="2"/>
          <w:sz w:val="28"/>
          <w:szCs w:val="28"/>
          <w:lang w:val="en-US" w:eastAsia="zh-CN" w:bidi="ar-SA"/>
        </w:rPr>
      </w:pPr>
      <w:r>
        <w:rPr>
          <w:rFonts w:ascii="Times New Roman" w:hAnsi="Times New Roman" w:eastAsia="宋体" w:cs="Times New Roman"/>
          <w:color w:val="000000"/>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5</w:t>
      </w:r>
      <w:r>
        <w:rPr>
          <w:rFonts w:ascii="Times New Roman" w:hAnsi="Times New Roman" w:eastAsia="宋体" w:cs="Times New Roman"/>
          <w:color w:val="000000"/>
          <w:kern w:val="2"/>
          <w:sz w:val="28"/>
          <w:szCs w:val="28"/>
          <w:lang w:val="en-US" w:eastAsia="zh-CN" w:bidi="ar-SA"/>
        </w:rPr>
        <w:t>）病死鱼类污染病死鱼类若未及时处置，腐烂分解会消耗水体溶解氧，产生有机酸、无机酸，导致底质酸化、pH 下降，并可能引发病害传播，影响水域环境与养殖安全。</w:t>
      </w:r>
    </w:p>
    <w:p w14:paraId="19D12126">
      <w:pPr>
        <w:pStyle w:val="3"/>
        <w:numPr>
          <w:ilvl w:val="0"/>
          <w:numId w:val="0"/>
        </w:numPr>
        <w:ind w:leftChars="200"/>
        <w:jc w:val="both"/>
        <w:rPr>
          <w:rFonts w:hint="eastAsia"/>
          <w:lang w:val="en-US" w:eastAsia="zh-CN"/>
        </w:rPr>
      </w:pPr>
      <w:bookmarkStart w:id="337" w:name="_Toc25287"/>
      <w:bookmarkStart w:id="338" w:name="_Toc6548"/>
      <w:bookmarkStart w:id="339" w:name="_Toc30874"/>
      <w:bookmarkStart w:id="340" w:name="_Toc7433"/>
      <w:bookmarkStart w:id="341" w:name="_Toc14641"/>
      <w:r>
        <w:rPr>
          <w:rFonts w:hint="eastAsia"/>
          <w:lang w:val="en-US" w:eastAsia="zh-CN"/>
        </w:rPr>
        <w:t>4.3</w:t>
      </w:r>
      <w:r>
        <w:rPr>
          <w:rFonts w:hint="default"/>
          <w:lang w:val="en-US" w:eastAsia="zh-CN"/>
        </w:rPr>
        <w:t>养殖环境水污染防治措施</w:t>
      </w:r>
      <w:bookmarkEnd w:id="337"/>
      <w:bookmarkEnd w:id="338"/>
      <w:bookmarkEnd w:id="339"/>
      <w:bookmarkEnd w:id="340"/>
      <w:bookmarkEnd w:id="341"/>
      <w:r>
        <w:rPr>
          <w:rFonts w:hint="default"/>
          <w:lang w:val="en-US" w:eastAsia="zh-CN"/>
        </w:rPr>
        <w:t xml:space="preserve"> </w:t>
      </w:r>
    </w:p>
    <w:p w14:paraId="48FEF235">
      <w:pPr>
        <w:keepNext w:val="0"/>
        <w:keepLines w:val="0"/>
        <w:widowControl/>
        <w:suppressLineNumbers w:val="0"/>
        <w:jc w:val="left"/>
        <w:rPr>
          <w:rFonts w:hint="default"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 xml:space="preserve">    （1）</w:t>
      </w:r>
      <w:r>
        <w:rPr>
          <w:rFonts w:hint="default" w:ascii="Times New Roman" w:hAnsi="Times New Roman" w:eastAsia="宋体" w:cs="Times New Roman"/>
          <w:color w:val="000000"/>
          <w:kern w:val="2"/>
          <w:sz w:val="28"/>
          <w:szCs w:val="28"/>
          <w:lang w:val="en-US" w:eastAsia="zh-CN" w:bidi="ar-SA"/>
        </w:rPr>
        <w:t>科学精准投喂，减少残饵污染根据养殖品种、生长阶段、天气及水质状况实行定时、定量、定质投喂，推广精准投喂技术，减少饲料浪费与残饵沉积，从源头降低有机物输入。</w:t>
      </w:r>
    </w:p>
    <w:p w14:paraId="1FDD894E">
      <w:pPr>
        <w:keepNext w:val="0"/>
        <w:keepLines w:val="0"/>
        <w:widowControl/>
        <w:suppressLineNumbers w:val="0"/>
        <w:ind w:firstLine="560" w:firstLineChars="200"/>
        <w:jc w:val="left"/>
        <w:rPr>
          <w:rFonts w:hint="default"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（2）</w:t>
      </w:r>
      <w:r>
        <w:rPr>
          <w:rFonts w:hint="default" w:ascii="Times New Roman" w:hAnsi="Times New Roman" w:eastAsia="宋体" w:cs="Times New Roman"/>
          <w:color w:val="000000"/>
          <w:kern w:val="2"/>
          <w:sz w:val="28"/>
          <w:szCs w:val="28"/>
          <w:lang w:val="en-US" w:eastAsia="zh-CN" w:bidi="ar-SA"/>
        </w:rPr>
        <w:t>规范渔药使用，严控投入品风险严格执行《无公害食品 渔用药物使用准则》及水产品质量安全相关规定，落实投入品市场准入与使用台账制度，严禁使用违禁药物，严格执行休药期，杜绝超范围、超剂量用药。</w:t>
      </w:r>
    </w:p>
    <w:p w14:paraId="29C7130B">
      <w:pPr>
        <w:keepNext w:val="0"/>
        <w:keepLines w:val="0"/>
        <w:widowControl/>
        <w:suppressLineNumbers w:val="0"/>
        <w:ind w:firstLine="560" w:firstLineChars="200"/>
        <w:jc w:val="left"/>
        <w:rPr>
          <w:rFonts w:hint="default"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（3）</w:t>
      </w:r>
      <w:r>
        <w:rPr>
          <w:rFonts w:hint="default" w:ascii="Times New Roman" w:hAnsi="Times New Roman" w:eastAsia="宋体" w:cs="Times New Roman"/>
          <w:color w:val="000000"/>
          <w:kern w:val="2"/>
          <w:sz w:val="28"/>
          <w:szCs w:val="28"/>
          <w:lang w:val="en-US" w:eastAsia="zh-CN" w:bidi="ar-SA"/>
        </w:rPr>
        <w:t>优化养殖模式，严控养殖密度科学确定养殖品种结构、养殖模式与养殖容量，推广多品种混养、立体生态养殖，合理搭配滤食性、杂食性品种，构建良性生态系统。结合</w:t>
      </w:r>
      <w:r>
        <w:rPr>
          <w:rFonts w:hint="eastAsia" w:cs="Times New Roman"/>
          <w:color w:val="000000"/>
          <w:kern w:val="2"/>
          <w:sz w:val="28"/>
          <w:szCs w:val="28"/>
          <w:lang w:val="en-US" w:eastAsia="zh-CN" w:bidi="ar-SA"/>
        </w:rPr>
        <w:t>友好区</w:t>
      </w:r>
      <w:r>
        <w:rPr>
          <w:rFonts w:hint="default" w:ascii="Times New Roman" w:hAnsi="Times New Roman" w:eastAsia="宋体" w:cs="Times New Roman"/>
          <w:color w:val="000000"/>
          <w:kern w:val="2"/>
          <w:sz w:val="28"/>
          <w:szCs w:val="28"/>
          <w:lang w:val="en-US" w:eastAsia="zh-CN" w:bidi="ar-SA"/>
        </w:rPr>
        <w:t>水域实际，控制池塘、水库、稻田等养殖单产水平，确保养殖强度与水域承载力匹配。</w:t>
      </w:r>
    </w:p>
    <w:p w14:paraId="6922F111">
      <w:pPr>
        <w:keepNext w:val="0"/>
        <w:keepLines w:val="0"/>
        <w:widowControl/>
        <w:suppressLineNumbers w:val="0"/>
        <w:ind w:firstLine="560" w:firstLineChars="200"/>
        <w:jc w:val="left"/>
        <w:rPr>
          <w:rFonts w:hint="default"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（4）</w:t>
      </w:r>
      <w:r>
        <w:rPr>
          <w:rFonts w:hint="default" w:ascii="Times New Roman" w:hAnsi="Times New Roman" w:eastAsia="宋体" w:cs="Times New Roman"/>
          <w:color w:val="000000"/>
          <w:kern w:val="2"/>
          <w:sz w:val="28"/>
          <w:szCs w:val="28"/>
          <w:lang w:val="en-US" w:eastAsia="zh-CN" w:bidi="ar-SA"/>
        </w:rPr>
        <w:t>强化尾水治理，严控底泥污染推进养殖池塘标准化与生态化改造，建设沉淀池、生态沟渠、人工湿地、多级净化池等尾水治理设施，推广循环水养殖、生态净化等技术，实现养殖尾水资源化利用或达标排放，减少废水与底泥外排污染。</w:t>
      </w:r>
    </w:p>
    <w:p w14:paraId="2464B8E5">
      <w:pPr>
        <w:keepNext w:val="0"/>
        <w:keepLines w:val="0"/>
        <w:widowControl/>
        <w:suppressLineNumbers w:val="0"/>
        <w:ind w:firstLine="560" w:firstLineChars="200"/>
        <w:jc w:val="left"/>
        <w:rPr>
          <w:rFonts w:hint="default"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（5）</w:t>
      </w:r>
      <w:r>
        <w:rPr>
          <w:rFonts w:hint="default" w:ascii="Times New Roman" w:hAnsi="Times New Roman" w:eastAsia="宋体" w:cs="Times New Roman"/>
          <w:color w:val="000000"/>
          <w:kern w:val="2"/>
          <w:sz w:val="28"/>
          <w:szCs w:val="28"/>
          <w:lang w:val="en-US" w:eastAsia="zh-CN" w:bidi="ar-SA"/>
        </w:rPr>
        <w:t>病死水生动物无害化处理建立病死鱼及时报告、统一收集、无害化处理机制，采取深埋、焚烧、化制等规范方式处置，严禁随意丢弃、丢弃入河或简易填埋，严防病害传播与水体污染。</w:t>
      </w:r>
    </w:p>
    <w:p w14:paraId="5776D148">
      <w:pPr>
        <w:numPr>
          <w:ilvl w:val="0"/>
          <w:numId w:val="0"/>
        </w:numPr>
        <w:spacing w:line="360" w:lineRule="auto"/>
        <w:jc w:val="both"/>
        <w:rPr>
          <w:rFonts w:hint="default" w:ascii="Times New Roman" w:hAnsi="Times New Roman" w:eastAsia="黑体" w:cs="Times New Roman"/>
          <w:color w:val="EE822F" w:themeColor="accent2"/>
          <w:kern w:val="2"/>
          <w:sz w:val="30"/>
          <w:szCs w:val="24"/>
          <w:lang w:val="en-US" w:eastAsia="zh-CN" w:bidi="ar-SA"/>
          <w14:textFill>
            <w14:solidFill>
              <w14:schemeClr w14:val="accent2"/>
            </w14:solidFill>
          </w14:textFill>
        </w:rPr>
        <w:sectPr>
          <w:headerReference r:id="rId13" w:type="default"/>
          <w:footerReference r:id="rId14" w:type="default"/>
          <w:pgSz w:w="11906" w:h="16838"/>
          <w:pgMar w:top="1531" w:right="1247" w:bottom="1417" w:left="1417" w:header="851" w:footer="992" w:gutter="0"/>
          <w:pgBorders>
            <w:top w:val="none" w:sz="0" w:space="0"/>
            <w:left w:val="none" w:sz="0" w:space="0"/>
            <w:bottom w:val="none" w:sz="0" w:space="0"/>
            <w:right w:val="none" w:sz="0" w:space="0"/>
          </w:pgBorders>
          <w:pgNumType w:fmt="decimal" w:start="1"/>
          <w:cols w:space="425" w:num="1"/>
          <w:rtlGutter w:val="0"/>
          <w:docGrid w:type="lines" w:linePitch="312" w:charSpace="0"/>
        </w:sectPr>
      </w:pPr>
      <w:r>
        <w:rPr>
          <w:rFonts w:hint="default" w:ascii="Times New Roman" w:hAnsi="Times New Roman" w:eastAsia="黑体" w:cs="Times New Roman"/>
          <w:color w:val="EE822F" w:themeColor="accent2"/>
          <w:kern w:val="2"/>
          <w:sz w:val="30"/>
          <w:szCs w:val="24"/>
          <w:lang w:val="en-US" w:eastAsia="zh-CN" w:bidi="ar-SA"/>
          <w14:textFill>
            <w14:solidFill>
              <w14:schemeClr w14:val="accent2"/>
            </w14:solidFill>
          </w14:textFill>
        </w:rPr>
        <w:t xml:space="preserve">·  </w:t>
      </w:r>
    </w:p>
    <w:p w14:paraId="504C7549">
      <w:pPr>
        <w:pStyle w:val="2"/>
        <w:numPr>
          <w:ilvl w:val="0"/>
          <w:numId w:val="1"/>
        </w:numPr>
        <w:ind w:left="0" w:leftChars="0" w:firstLine="0" w:firstLineChars="0"/>
        <w:jc w:val="center"/>
        <w:rPr>
          <w:b w:val="0"/>
        </w:rPr>
      </w:pPr>
      <w:bookmarkStart w:id="342" w:name="_Toc15448"/>
      <w:bookmarkStart w:id="343" w:name="_Toc10137"/>
      <w:bookmarkStart w:id="344" w:name="_Toc26671"/>
      <w:bookmarkStart w:id="345" w:name="_Toc25222"/>
      <w:bookmarkStart w:id="346" w:name="_Toc7653"/>
      <w:bookmarkStart w:id="347" w:name="_Toc16685"/>
      <w:bookmarkStart w:id="348" w:name="_Toc4372"/>
      <w:bookmarkStart w:id="349" w:name="_Toc22757"/>
      <w:bookmarkStart w:id="350" w:name="_Toc15965"/>
      <w:r>
        <w:t>保障措施</w:t>
      </w:r>
      <w:bookmarkEnd w:id="342"/>
      <w:bookmarkEnd w:id="343"/>
      <w:bookmarkEnd w:id="344"/>
      <w:bookmarkEnd w:id="345"/>
      <w:bookmarkEnd w:id="346"/>
      <w:bookmarkEnd w:id="347"/>
      <w:bookmarkEnd w:id="348"/>
      <w:bookmarkEnd w:id="349"/>
      <w:bookmarkEnd w:id="350"/>
    </w:p>
    <w:p w14:paraId="14DFAF83">
      <w:pPr>
        <w:pStyle w:val="3"/>
        <w:keepNext w:val="0"/>
        <w:keepLines w:val="0"/>
        <w:pageBreakBefore w:val="0"/>
        <w:widowControl w:val="0"/>
        <w:numPr>
          <w:ilvl w:val="0"/>
          <w:numId w:val="0"/>
        </w:numPr>
        <w:kinsoku/>
        <w:wordWrap/>
        <w:overflowPunct/>
        <w:topLinePunct w:val="0"/>
        <w:autoSpaceDE/>
        <w:autoSpaceDN/>
        <w:bidi w:val="0"/>
        <w:adjustRightInd w:val="0"/>
        <w:snapToGrid/>
        <w:spacing w:after="280"/>
        <w:ind w:leftChars="200"/>
        <w:jc w:val="both"/>
        <w:textAlignment w:val="auto"/>
        <w:rPr>
          <w:rFonts w:hint="eastAsia"/>
          <w:lang w:val="en-US" w:eastAsia="zh-CN"/>
        </w:rPr>
      </w:pPr>
      <w:bookmarkStart w:id="351" w:name="_Toc5467"/>
      <w:bookmarkStart w:id="352" w:name="_Toc24082"/>
      <w:bookmarkStart w:id="353" w:name="_Toc28245"/>
      <w:bookmarkStart w:id="354" w:name="_Toc21035"/>
      <w:bookmarkStart w:id="355" w:name="_Toc7172"/>
      <w:bookmarkStart w:id="356" w:name="_Toc16537"/>
      <w:bookmarkStart w:id="357" w:name="_Toc15187"/>
      <w:bookmarkStart w:id="358" w:name="_Toc28981"/>
      <w:r>
        <w:rPr>
          <w:rFonts w:hint="eastAsia"/>
          <w:lang w:val="en-US" w:eastAsia="zh-CN"/>
        </w:rPr>
        <w:t>5.1加强组织领导</w:t>
      </w:r>
      <w:bookmarkEnd w:id="351"/>
      <w:bookmarkEnd w:id="352"/>
      <w:bookmarkEnd w:id="353"/>
      <w:bookmarkEnd w:id="354"/>
      <w:bookmarkEnd w:id="355"/>
      <w:bookmarkEnd w:id="356"/>
      <w:bookmarkEnd w:id="357"/>
      <w:bookmarkEnd w:id="358"/>
    </w:p>
    <w:p w14:paraId="71027860">
      <w:pPr>
        <w:keepNext w:val="0"/>
        <w:keepLines w:val="0"/>
        <w:pageBreakBefore w:val="0"/>
        <w:widowControl w:val="0"/>
        <w:numPr>
          <w:ilvl w:val="0"/>
          <w:numId w:val="0"/>
        </w:numPr>
        <w:kinsoku/>
        <w:wordWrap/>
        <w:overflowPunct/>
        <w:topLinePunct w:val="0"/>
        <w:autoSpaceDE/>
        <w:autoSpaceDN/>
        <w:bidi w:val="0"/>
        <w:adjustRightInd w:val="0"/>
        <w:snapToGrid/>
        <w:spacing w:before="0" w:line="360" w:lineRule="auto"/>
        <w:ind w:leftChars="0" w:firstLine="560" w:firstLineChars="200"/>
        <w:jc w:val="both"/>
        <w:textAlignment w:val="auto"/>
        <w:outlineLvl w:val="9"/>
        <w:rPr>
          <w:rFonts w:hint="eastAsia" w:ascii="Times New Roman" w:hAnsi="Times New Roman" w:eastAsia="宋体" w:cs="Times New Roman"/>
          <w:color w:val="000000"/>
          <w:kern w:val="2"/>
          <w:sz w:val="28"/>
          <w:szCs w:val="28"/>
          <w:lang w:val="en-US" w:eastAsia="zh-CN" w:bidi="ar-SA"/>
        </w:rPr>
      </w:pPr>
      <w:bookmarkStart w:id="359" w:name="_Toc5110"/>
      <w:bookmarkStart w:id="360" w:name="_Toc24551"/>
      <w:r>
        <w:rPr>
          <w:rFonts w:hint="eastAsia" w:ascii="Times New Roman" w:hAnsi="Times New Roman" w:eastAsia="宋体" w:cs="Times New Roman"/>
          <w:color w:val="000000"/>
          <w:kern w:val="2"/>
          <w:sz w:val="28"/>
          <w:szCs w:val="28"/>
          <w:lang w:val="en-US" w:eastAsia="zh-CN" w:bidi="ar-SA"/>
        </w:rPr>
        <w:t>为了进一步强化对养殖水域滩涂规划编制工作的组织领导，确保规划修订工作规范有序、落地见效，</w:t>
      </w:r>
      <w:r>
        <w:rPr>
          <w:rFonts w:hint="eastAsia" w:cs="Times New Roman"/>
          <w:color w:val="000000"/>
          <w:kern w:val="2"/>
          <w:sz w:val="28"/>
          <w:szCs w:val="28"/>
          <w:lang w:val="en-US" w:eastAsia="zh-CN" w:bidi="ar-SA"/>
        </w:rPr>
        <w:t>友好区</w:t>
      </w:r>
      <w:r>
        <w:rPr>
          <w:rFonts w:hint="eastAsia" w:ascii="Times New Roman" w:hAnsi="Times New Roman" w:eastAsia="宋体" w:cs="Times New Roman"/>
          <w:color w:val="000000"/>
          <w:kern w:val="2"/>
          <w:sz w:val="28"/>
          <w:szCs w:val="28"/>
          <w:lang w:val="en-US" w:eastAsia="zh-CN" w:bidi="ar-SA"/>
        </w:rPr>
        <w:t>农业农村局专门成立规划修订工作专班。专班由区农业农村局局长任组长、副局长任副组长，自然资源、林草、水利、生态环保等相关部门为成员的规划实施工作专班，统筹协调规划实施过程中的各项工作。专班主要负责统筹推进规划修订各项工作，统筹调配《规划》修订所需的人力、财力、物力资源，协调解决规划实施中的重大问题，审定工作实施方案，督促各部门、各环节工作落地落实。</w:t>
      </w:r>
      <w:bookmarkEnd w:id="359"/>
      <w:bookmarkEnd w:id="360"/>
    </w:p>
    <w:p w14:paraId="06FC65B2">
      <w:pPr>
        <w:keepNext w:val="0"/>
        <w:keepLines w:val="0"/>
        <w:pageBreakBefore w:val="0"/>
        <w:widowControl w:val="0"/>
        <w:numPr>
          <w:ilvl w:val="0"/>
          <w:numId w:val="0"/>
        </w:numPr>
        <w:kinsoku/>
        <w:wordWrap/>
        <w:overflowPunct/>
        <w:topLinePunct w:val="0"/>
        <w:autoSpaceDE/>
        <w:autoSpaceDN/>
        <w:bidi w:val="0"/>
        <w:adjustRightInd w:val="0"/>
        <w:snapToGrid/>
        <w:spacing w:before="0" w:line="360" w:lineRule="auto"/>
        <w:ind w:leftChars="0" w:firstLine="560" w:firstLineChars="200"/>
        <w:jc w:val="both"/>
        <w:textAlignment w:val="auto"/>
        <w:outlineLvl w:val="9"/>
        <w:rPr>
          <w:rFonts w:hint="eastAsia"/>
          <w:lang w:val="en-US" w:eastAsia="zh-CN"/>
        </w:rPr>
      </w:pPr>
      <w:bookmarkStart w:id="361" w:name="_Toc27126"/>
      <w:bookmarkStart w:id="362" w:name="_Toc9604"/>
      <w:r>
        <w:rPr>
          <w:rFonts w:hint="eastAsia" w:ascii="Times New Roman" w:hAnsi="Times New Roman" w:eastAsia="宋体" w:cs="Times New Roman"/>
          <w:color w:val="000000"/>
          <w:kern w:val="2"/>
          <w:sz w:val="28"/>
          <w:szCs w:val="28"/>
          <w:lang w:val="en-US" w:eastAsia="zh-CN" w:bidi="ar-SA"/>
        </w:rPr>
        <w:t>建立定期工作协调会议机制，定期召开工作推进会，及时研究解决规划实施过程中出现的堵点、难点问题；工作小组定期汇报工作进展，细化工作举措、压实工作责任，确保规划各项任务按时保质完成，为规划实施提供坚强的组织保障。同时，明确各相关部门职责分工，加强协同配合，形成上下联动、齐抓共管的工作格局，推动规划落地生根。</w:t>
      </w:r>
      <w:bookmarkEnd w:id="361"/>
      <w:bookmarkEnd w:id="362"/>
    </w:p>
    <w:p w14:paraId="0B015AD6">
      <w:pPr>
        <w:pStyle w:val="3"/>
        <w:keepNext w:val="0"/>
        <w:keepLines w:val="0"/>
        <w:pageBreakBefore w:val="0"/>
        <w:widowControl w:val="0"/>
        <w:numPr>
          <w:ilvl w:val="0"/>
          <w:numId w:val="0"/>
        </w:numPr>
        <w:kinsoku/>
        <w:wordWrap/>
        <w:overflowPunct/>
        <w:topLinePunct w:val="0"/>
        <w:autoSpaceDE/>
        <w:autoSpaceDN/>
        <w:bidi w:val="0"/>
        <w:adjustRightInd w:val="0"/>
        <w:snapToGrid/>
        <w:spacing w:after="280"/>
        <w:ind w:leftChars="200"/>
        <w:jc w:val="both"/>
        <w:textAlignment w:val="auto"/>
        <w:rPr>
          <w:rFonts w:hint="eastAsia"/>
          <w:lang w:val="en-US" w:eastAsia="zh-CN"/>
        </w:rPr>
      </w:pPr>
      <w:bookmarkStart w:id="363" w:name="_Toc15841"/>
      <w:bookmarkStart w:id="364" w:name="_Toc10656"/>
      <w:bookmarkStart w:id="365" w:name="_Toc31186"/>
      <w:bookmarkStart w:id="366" w:name="_Toc7538"/>
      <w:bookmarkStart w:id="367" w:name="_Toc15614"/>
      <w:r>
        <w:rPr>
          <w:rFonts w:hint="eastAsia"/>
          <w:lang w:val="en-US" w:eastAsia="zh-CN"/>
        </w:rPr>
        <w:t>5.2强化监督检查</w:t>
      </w:r>
      <w:bookmarkEnd w:id="363"/>
      <w:bookmarkEnd w:id="364"/>
      <w:bookmarkEnd w:id="365"/>
      <w:bookmarkEnd w:id="366"/>
      <w:bookmarkEnd w:id="367"/>
    </w:p>
    <w:p w14:paraId="5213EC2A">
      <w:pPr>
        <w:keepNext w:val="0"/>
        <w:keepLines w:val="0"/>
        <w:pageBreakBefore w:val="0"/>
        <w:widowControl w:val="0"/>
        <w:numPr>
          <w:ilvl w:val="0"/>
          <w:numId w:val="0"/>
        </w:numPr>
        <w:kinsoku/>
        <w:wordWrap/>
        <w:overflowPunct/>
        <w:topLinePunct w:val="0"/>
        <w:autoSpaceDE/>
        <w:autoSpaceDN/>
        <w:bidi w:val="0"/>
        <w:adjustRightInd w:val="0"/>
        <w:snapToGrid/>
        <w:spacing w:before="0" w:line="360" w:lineRule="auto"/>
        <w:ind w:leftChars="0" w:firstLine="560" w:firstLineChars="200"/>
        <w:jc w:val="both"/>
        <w:textAlignment w:val="auto"/>
        <w:outlineLvl w:val="9"/>
        <w:rPr>
          <w:rFonts w:hint="eastAsia" w:ascii="Times New Roman" w:hAnsi="Times New Roman" w:eastAsia="宋体" w:cs="Times New Roman"/>
          <w:color w:val="000000"/>
          <w:kern w:val="2"/>
          <w:sz w:val="28"/>
          <w:szCs w:val="28"/>
          <w:lang w:val="en-US" w:eastAsia="zh-CN" w:bidi="ar-SA"/>
        </w:rPr>
      </w:pPr>
      <w:bookmarkStart w:id="368" w:name="_Toc8168"/>
      <w:bookmarkStart w:id="369" w:name="_Toc31608"/>
      <w:r>
        <w:rPr>
          <w:rFonts w:hint="eastAsia" w:ascii="Times New Roman" w:hAnsi="Times New Roman" w:eastAsia="宋体" w:cs="Times New Roman"/>
          <w:color w:val="000000"/>
          <w:kern w:val="2"/>
          <w:sz w:val="28"/>
          <w:szCs w:val="28"/>
          <w:lang w:val="en-US" w:eastAsia="zh-CN" w:bidi="ar-SA"/>
        </w:rPr>
        <w:t>加强对养殖水域滩涂不同功能区的分类管制，严格落实禁止养殖区、限制养殖区和养殖区的各项管理要求，确保规划实施效果。规范水域滩涂养殖发证登记工作，严格按照《水域滩涂养殖发证登记办法》等相关规定，优化登记流程，实现养殖证的规范化、标准化管理；充分利用养殖信息管理系统，建立养殖证动态管理机制，实时更新养殖信息，强化水域滩涂开发利用与保护的动态监管及信息反馈，提升管理精细化水平。</w:t>
      </w:r>
      <w:bookmarkEnd w:id="368"/>
      <w:bookmarkEnd w:id="369"/>
    </w:p>
    <w:p w14:paraId="3848E208">
      <w:pPr>
        <w:keepNext w:val="0"/>
        <w:keepLines w:val="0"/>
        <w:pageBreakBefore w:val="0"/>
        <w:widowControl w:val="0"/>
        <w:numPr>
          <w:ilvl w:val="0"/>
          <w:numId w:val="0"/>
        </w:numPr>
        <w:kinsoku/>
        <w:wordWrap/>
        <w:overflowPunct/>
        <w:topLinePunct w:val="0"/>
        <w:autoSpaceDE/>
        <w:autoSpaceDN/>
        <w:bidi w:val="0"/>
        <w:adjustRightInd w:val="0"/>
        <w:snapToGrid/>
        <w:spacing w:before="0" w:line="360" w:lineRule="auto"/>
        <w:ind w:leftChars="0" w:firstLine="560" w:firstLineChars="200"/>
        <w:jc w:val="both"/>
        <w:textAlignment w:val="auto"/>
        <w:outlineLvl w:val="9"/>
        <w:rPr>
          <w:rFonts w:hint="eastAsia" w:ascii="Times New Roman" w:hAnsi="Times New Roman" w:eastAsia="宋体" w:cs="Times New Roman"/>
          <w:color w:val="000000"/>
          <w:kern w:val="2"/>
          <w:sz w:val="28"/>
          <w:szCs w:val="28"/>
          <w:lang w:val="en-US" w:eastAsia="zh-CN" w:bidi="ar-SA"/>
        </w:rPr>
      </w:pPr>
      <w:bookmarkStart w:id="370" w:name="_Toc1238"/>
      <w:bookmarkStart w:id="371" w:name="_Toc28265"/>
      <w:r>
        <w:rPr>
          <w:rFonts w:hint="eastAsia" w:ascii="Times New Roman" w:hAnsi="Times New Roman" w:eastAsia="宋体" w:cs="Times New Roman"/>
          <w:color w:val="000000"/>
          <w:kern w:val="2"/>
          <w:sz w:val="28"/>
          <w:szCs w:val="28"/>
          <w:lang w:val="en-US" w:eastAsia="zh-CN" w:bidi="ar-SA"/>
        </w:rPr>
        <w:t>强化水产养殖执法监管力度，组建专业执法队伍，规范执法流程，严厉查处各类非法养殖行为，重点打击未依法取得养殖证、超越养殖证许可范围在全民所有水域从事养殖生产，以及妨碍航运、行洪等违法违规行为，维护良好的渔业生产秩序。加大渔业、环保等法律法规和政策的宣传普及力度，通过线下宣讲、线上推送、发放宣传资料等多种形式，提高养殖生产经营主体的依法养殖意识和资源环境保护能力，引导养殖主体自觉遵守相关规定，主动配合规划实施和监督检查工作。</w:t>
      </w:r>
      <w:bookmarkEnd w:id="370"/>
      <w:bookmarkEnd w:id="371"/>
    </w:p>
    <w:p w14:paraId="0E113E84">
      <w:pPr>
        <w:pStyle w:val="3"/>
        <w:keepNext w:val="0"/>
        <w:keepLines w:val="0"/>
        <w:pageBreakBefore w:val="0"/>
        <w:widowControl w:val="0"/>
        <w:numPr>
          <w:ilvl w:val="0"/>
          <w:numId w:val="0"/>
        </w:numPr>
        <w:kinsoku/>
        <w:wordWrap/>
        <w:overflowPunct/>
        <w:topLinePunct w:val="0"/>
        <w:autoSpaceDE/>
        <w:autoSpaceDN/>
        <w:bidi w:val="0"/>
        <w:adjustRightInd w:val="0"/>
        <w:snapToGrid/>
        <w:spacing w:after="280"/>
        <w:ind w:leftChars="200"/>
        <w:jc w:val="both"/>
        <w:textAlignment w:val="auto"/>
        <w:rPr>
          <w:rFonts w:hint="eastAsia"/>
          <w:lang w:val="en-US" w:eastAsia="zh-CN"/>
        </w:rPr>
      </w:pPr>
      <w:bookmarkStart w:id="372" w:name="_Toc31036"/>
      <w:bookmarkStart w:id="373" w:name="_Toc280"/>
      <w:bookmarkStart w:id="374" w:name="_Toc26211"/>
      <w:bookmarkStart w:id="375" w:name="_Toc839"/>
      <w:bookmarkStart w:id="376" w:name="_Toc17811"/>
      <w:r>
        <w:rPr>
          <w:rFonts w:hint="eastAsia"/>
          <w:lang w:val="en-US" w:eastAsia="zh-CN"/>
        </w:rPr>
        <w:t>5.3完善生态保护</w:t>
      </w:r>
      <w:bookmarkEnd w:id="372"/>
      <w:bookmarkEnd w:id="373"/>
      <w:bookmarkEnd w:id="374"/>
      <w:bookmarkEnd w:id="375"/>
      <w:bookmarkEnd w:id="376"/>
    </w:p>
    <w:p w14:paraId="71039AFC">
      <w:pPr>
        <w:keepNext w:val="0"/>
        <w:keepLines w:val="0"/>
        <w:pageBreakBefore w:val="0"/>
        <w:widowControl w:val="0"/>
        <w:numPr>
          <w:ilvl w:val="0"/>
          <w:numId w:val="0"/>
        </w:numPr>
        <w:kinsoku/>
        <w:wordWrap/>
        <w:overflowPunct/>
        <w:topLinePunct w:val="0"/>
        <w:autoSpaceDE/>
        <w:autoSpaceDN/>
        <w:bidi w:val="0"/>
        <w:adjustRightInd w:val="0"/>
        <w:snapToGrid/>
        <w:spacing w:before="0" w:line="360" w:lineRule="auto"/>
        <w:ind w:leftChars="0" w:firstLine="560" w:firstLineChars="200"/>
        <w:jc w:val="both"/>
        <w:textAlignment w:val="auto"/>
        <w:outlineLvl w:val="9"/>
        <w:rPr>
          <w:rFonts w:hint="eastAsia" w:ascii="Times New Roman" w:hAnsi="Times New Roman" w:eastAsia="宋体" w:cs="Times New Roman"/>
          <w:color w:val="000000"/>
          <w:kern w:val="2"/>
          <w:sz w:val="28"/>
          <w:szCs w:val="28"/>
          <w:lang w:val="en-US" w:eastAsia="zh-CN" w:bidi="ar-SA"/>
        </w:rPr>
      </w:pPr>
      <w:bookmarkStart w:id="377" w:name="_Toc2110"/>
      <w:bookmarkStart w:id="378" w:name="_Toc17978"/>
      <w:r>
        <w:rPr>
          <w:rFonts w:hint="eastAsia" w:ascii="Times New Roman" w:hAnsi="Times New Roman" w:eastAsia="宋体" w:cs="Times New Roman"/>
          <w:color w:val="000000"/>
          <w:kern w:val="2"/>
          <w:sz w:val="28"/>
          <w:szCs w:val="28"/>
          <w:lang w:val="en-US" w:eastAsia="zh-CN" w:bidi="ar-SA"/>
        </w:rPr>
        <w:t>坚持生态优先、绿色发展理念，将生态保护贯穿于养殖水域滩涂规划实施全过程，保障养殖水域滩涂资源持续、合理利用。建立健全养殖水域生态保护长效机制，加强对养殖水域水质、水生生物资源的监测，定期开展水质检测和生态评估，及时掌握水域生态状况，针对发现的问题及时采取整改措施，防范养殖活动对水域生态造成破坏。</w:t>
      </w:r>
      <w:bookmarkEnd w:id="377"/>
      <w:bookmarkEnd w:id="378"/>
    </w:p>
    <w:p w14:paraId="6DA7ADEF">
      <w:pPr>
        <w:keepNext w:val="0"/>
        <w:keepLines w:val="0"/>
        <w:pageBreakBefore w:val="0"/>
        <w:widowControl w:val="0"/>
        <w:numPr>
          <w:ilvl w:val="0"/>
          <w:numId w:val="0"/>
        </w:numPr>
        <w:kinsoku/>
        <w:wordWrap/>
        <w:overflowPunct/>
        <w:topLinePunct w:val="0"/>
        <w:autoSpaceDE/>
        <w:autoSpaceDN/>
        <w:bidi w:val="0"/>
        <w:adjustRightInd w:val="0"/>
        <w:snapToGrid/>
        <w:spacing w:before="0" w:line="360" w:lineRule="auto"/>
        <w:ind w:leftChars="0" w:firstLine="560" w:firstLineChars="200"/>
        <w:jc w:val="both"/>
        <w:textAlignment w:val="auto"/>
        <w:outlineLvl w:val="9"/>
        <w:rPr>
          <w:rFonts w:hint="eastAsia" w:ascii="Times New Roman" w:hAnsi="Times New Roman" w:eastAsia="宋体" w:cs="Times New Roman"/>
          <w:color w:val="000000"/>
          <w:kern w:val="2"/>
          <w:sz w:val="28"/>
          <w:szCs w:val="28"/>
          <w:lang w:val="en-US" w:eastAsia="zh-CN" w:bidi="ar-SA"/>
        </w:rPr>
      </w:pPr>
      <w:bookmarkStart w:id="379" w:name="_Toc12458"/>
      <w:bookmarkStart w:id="380" w:name="_Toc21485"/>
      <w:r>
        <w:rPr>
          <w:rFonts w:hint="eastAsia" w:ascii="Times New Roman" w:hAnsi="Times New Roman" w:eastAsia="宋体" w:cs="Times New Roman"/>
          <w:color w:val="000000"/>
          <w:kern w:val="2"/>
          <w:sz w:val="28"/>
          <w:szCs w:val="28"/>
          <w:lang w:val="en-US" w:eastAsia="zh-CN" w:bidi="ar-SA"/>
        </w:rPr>
        <w:t>引导养殖主体推广生态健康养殖模式，减少养殖废弃物排放，推广高效、环保的养殖技术和模式，推动水产养殖与生态保护协调发展。依法保障养殖生产经营者的合法权益，充分调动养殖主体发展生态养殖的积极性，鼓励养殖主体参与水域生态保护工作。加强与生态环保部门的协同配合，建立生态环境协同治理机制，严厉打击破坏养殖水域生态环境的行为，着力改善养殖水域环境质量，提升水产品质量安全水平，实现水产养殖业高质量可持续发展。</w:t>
      </w:r>
      <w:bookmarkEnd w:id="379"/>
      <w:bookmarkEnd w:id="380"/>
    </w:p>
    <w:p w14:paraId="2AC73D84">
      <w:pPr>
        <w:pStyle w:val="3"/>
        <w:keepNext w:val="0"/>
        <w:keepLines w:val="0"/>
        <w:pageBreakBefore w:val="0"/>
        <w:widowControl w:val="0"/>
        <w:numPr>
          <w:ilvl w:val="0"/>
          <w:numId w:val="0"/>
        </w:numPr>
        <w:kinsoku/>
        <w:wordWrap/>
        <w:overflowPunct/>
        <w:topLinePunct w:val="0"/>
        <w:autoSpaceDE/>
        <w:autoSpaceDN/>
        <w:bidi w:val="0"/>
        <w:adjustRightInd w:val="0"/>
        <w:snapToGrid/>
        <w:spacing w:after="280"/>
        <w:ind w:leftChars="200"/>
        <w:jc w:val="both"/>
        <w:textAlignment w:val="auto"/>
        <w:rPr>
          <w:rFonts w:hint="default"/>
          <w:lang w:val="en-US" w:eastAsia="zh-CN"/>
        </w:rPr>
      </w:pPr>
      <w:bookmarkStart w:id="381" w:name="_Toc28593"/>
      <w:bookmarkStart w:id="382" w:name="_Toc19133"/>
      <w:bookmarkStart w:id="383" w:name="_Toc18814"/>
      <w:bookmarkStart w:id="384" w:name="_Toc23103"/>
      <w:bookmarkStart w:id="385" w:name="_Toc11902"/>
      <w:r>
        <w:rPr>
          <w:rFonts w:hint="eastAsia"/>
          <w:lang w:val="en-US" w:eastAsia="zh-CN"/>
        </w:rPr>
        <w:t>5.4加强宣传教育</w:t>
      </w:r>
      <w:bookmarkEnd w:id="381"/>
      <w:bookmarkEnd w:id="382"/>
      <w:bookmarkEnd w:id="383"/>
      <w:bookmarkEnd w:id="384"/>
      <w:bookmarkEnd w:id="385"/>
    </w:p>
    <w:p w14:paraId="09668DF2">
      <w:pPr>
        <w:keepNext w:val="0"/>
        <w:keepLines w:val="0"/>
        <w:pageBreakBefore w:val="0"/>
        <w:widowControl/>
        <w:suppressLineNumbers w:val="0"/>
        <w:kinsoku/>
        <w:wordWrap/>
        <w:overflowPunct/>
        <w:topLinePunct w:val="0"/>
        <w:autoSpaceDE/>
        <w:autoSpaceDN/>
        <w:bidi w:val="0"/>
        <w:adjustRightInd/>
        <w:snapToGrid/>
        <w:ind w:leftChars="0" w:firstLine="560" w:firstLineChars="200"/>
        <w:jc w:val="left"/>
        <w:textAlignment w:val="auto"/>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坚持宣传先行、引导为主，将宣传教育贯穿规划实施全过程，着力提升全社会对养殖水域滩涂规划、渔业法律法规及生态保护的认知度和参与度。构建多渠道、全方位宣传体系，结合线下宣讲、村社公告、入户走访、发放宣传手册等传统方式，搭配线上新媒体推送、短视频解读、政策宣讲直播等新型形式，精准覆盖养殖生产经营主体、基层管理人员及广大群众，确保宣传无死角、全覆盖。</w:t>
      </w:r>
    </w:p>
    <w:p w14:paraId="5E4B2EFA">
      <w:pPr>
        <w:keepNext w:val="0"/>
        <w:keepLines w:val="0"/>
        <w:pageBreakBefore w:val="0"/>
        <w:widowControl/>
        <w:suppressLineNumbers w:val="0"/>
        <w:kinsoku/>
        <w:wordWrap/>
        <w:overflowPunct/>
        <w:topLinePunct w:val="0"/>
        <w:autoSpaceDE/>
        <w:autoSpaceDN/>
        <w:bidi w:val="0"/>
        <w:adjustRightInd/>
        <w:snapToGrid/>
        <w:ind w:leftChars="0" w:firstLine="560" w:firstLineChars="200"/>
        <w:jc w:val="left"/>
        <w:textAlignment w:val="auto"/>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2"/>
          <w:sz w:val="28"/>
          <w:szCs w:val="28"/>
          <w:lang w:val="en-US" w:eastAsia="zh-CN" w:bidi="ar-SA"/>
        </w:rPr>
        <w:t>重点宣传养殖水域滩涂规划的核心内容、功能分区管控要求、相关法律法规及生态保护重要意义，解读养殖证办理、生态养殖技术、违法违规养殖处罚标准等重点内容，让养殖主体明确权利义务，自觉规范养殖行为。同时，宣传推广生态养殖典型案例、先进经验，引导养殖主体树立“生态优先、绿色养殖”理念，主动参与水域滩涂资源保护。加强对基层管理人员的政策培训，提升其政策理解和执行能力，确保规划各项要求落地到位，凝聚起规划实施的强大合力。</w:t>
      </w:r>
    </w:p>
    <w:p w14:paraId="59C7EB17">
      <w:pPr>
        <w:pStyle w:val="2"/>
        <w:numPr>
          <w:ilvl w:val="0"/>
          <w:numId w:val="0"/>
        </w:numPr>
        <w:ind w:leftChars="0"/>
        <w:jc w:val="center"/>
        <w:rPr>
          <w:b w:val="0"/>
        </w:rPr>
      </w:pPr>
      <w:r>
        <w:br w:type="page"/>
      </w:r>
      <w:bookmarkStart w:id="386" w:name="_Toc11885"/>
      <w:bookmarkStart w:id="387" w:name="_Toc4675"/>
      <w:bookmarkStart w:id="388" w:name="_Toc14435"/>
      <w:bookmarkStart w:id="389" w:name="_Toc9975"/>
      <w:bookmarkStart w:id="390" w:name="_Toc4566"/>
      <w:bookmarkStart w:id="391" w:name="_Toc31071"/>
      <w:bookmarkStart w:id="392" w:name="_Toc21858"/>
      <w:bookmarkStart w:id="393" w:name="_Toc23232"/>
      <w:bookmarkStart w:id="394" w:name="_Toc12039"/>
      <w:r>
        <w:t>第</w:t>
      </w:r>
      <w:r>
        <w:rPr>
          <w:rFonts w:hint="eastAsia"/>
          <w:lang w:val="en-US" w:eastAsia="zh-CN"/>
        </w:rPr>
        <w:t>六</w:t>
      </w:r>
      <w:r>
        <w:t>章</w:t>
      </w:r>
      <w:r>
        <w:rPr>
          <w:rFonts w:hint="eastAsia"/>
          <w:lang w:val="en-US" w:eastAsia="zh-CN"/>
        </w:rPr>
        <w:t xml:space="preserve"> </w:t>
      </w:r>
      <w:r>
        <w:t>附则</w:t>
      </w:r>
      <w:bookmarkEnd w:id="386"/>
      <w:bookmarkEnd w:id="387"/>
      <w:bookmarkEnd w:id="388"/>
      <w:bookmarkEnd w:id="389"/>
      <w:bookmarkEnd w:id="390"/>
      <w:bookmarkEnd w:id="391"/>
      <w:bookmarkEnd w:id="392"/>
      <w:bookmarkEnd w:id="393"/>
      <w:bookmarkEnd w:id="394"/>
    </w:p>
    <w:p w14:paraId="5ED66B05">
      <w:pPr>
        <w:pStyle w:val="3"/>
        <w:numPr>
          <w:ilvl w:val="0"/>
          <w:numId w:val="0"/>
        </w:numPr>
        <w:ind w:leftChars="200"/>
        <w:jc w:val="both"/>
        <w:rPr>
          <w:b w:val="0"/>
        </w:rPr>
      </w:pPr>
      <w:bookmarkStart w:id="395" w:name="_Toc8820"/>
      <w:bookmarkStart w:id="396" w:name="_Toc4221"/>
      <w:bookmarkStart w:id="397" w:name="_Toc21877"/>
      <w:bookmarkStart w:id="398" w:name="_Toc13979"/>
      <w:bookmarkStart w:id="399" w:name="_Toc20045"/>
      <w:bookmarkStart w:id="400" w:name="_Toc19756"/>
      <w:bookmarkStart w:id="401" w:name="_Toc1042"/>
      <w:bookmarkStart w:id="402" w:name="_Toc31474"/>
      <w:bookmarkStart w:id="403" w:name="_Toc29088"/>
      <w:bookmarkStart w:id="404" w:name="_Toc525734678"/>
      <w:r>
        <w:rPr>
          <w:rFonts w:hint="eastAsia"/>
          <w:lang w:val="en-US" w:eastAsia="zh-CN"/>
        </w:rPr>
        <w:t>6.1</w:t>
      </w:r>
      <w:r>
        <w:t>关于规划效力</w:t>
      </w:r>
      <w:bookmarkEnd w:id="395"/>
      <w:bookmarkEnd w:id="396"/>
      <w:bookmarkEnd w:id="397"/>
      <w:bookmarkEnd w:id="398"/>
      <w:bookmarkEnd w:id="399"/>
      <w:bookmarkEnd w:id="400"/>
      <w:bookmarkEnd w:id="401"/>
      <w:bookmarkEnd w:id="402"/>
      <w:bookmarkEnd w:id="403"/>
      <w:bookmarkEnd w:id="404"/>
    </w:p>
    <w:p w14:paraId="2A8D4581">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养殖水域滩涂规划一经批准，即具有法律效力，必须严格执行。本水域滩涂养殖规划自公布之日起实施。本规划如与国家有关法律法规和管理规定相冲突的，按有关法律法规和管理规定办理。规划期内如遇国家政策重大变更，需经县级以上渔业主管部门组织专家论证后，按法定程序修订。</w:t>
      </w:r>
    </w:p>
    <w:p w14:paraId="381BC2FE">
      <w:pPr>
        <w:pStyle w:val="3"/>
        <w:numPr>
          <w:ilvl w:val="0"/>
          <w:numId w:val="0"/>
        </w:numPr>
        <w:ind w:leftChars="200"/>
        <w:jc w:val="both"/>
        <w:rPr>
          <w:b w:val="0"/>
        </w:rPr>
      </w:pPr>
      <w:bookmarkStart w:id="405" w:name="_Toc11584"/>
      <w:bookmarkStart w:id="406" w:name="_Toc26571"/>
      <w:bookmarkStart w:id="407" w:name="_Toc5181"/>
      <w:bookmarkStart w:id="408" w:name="_Toc29736"/>
      <w:bookmarkStart w:id="409" w:name="_Toc16697"/>
      <w:bookmarkStart w:id="410" w:name="_Toc6715"/>
      <w:bookmarkStart w:id="411" w:name="_Toc26518"/>
      <w:bookmarkStart w:id="412" w:name="_Toc30603"/>
      <w:bookmarkStart w:id="413" w:name="_Toc28184"/>
      <w:r>
        <w:rPr>
          <w:rFonts w:hint="eastAsia"/>
          <w:lang w:val="en-US" w:eastAsia="zh-CN"/>
        </w:rPr>
        <w:t>6.2</w:t>
      </w:r>
      <w:r>
        <w:t>关于规划图件</w:t>
      </w:r>
      <w:bookmarkEnd w:id="405"/>
      <w:bookmarkEnd w:id="406"/>
      <w:bookmarkEnd w:id="407"/>
      <w:bookmarkEnd w:id="408"/>
      <w:bookmarkEnd w:id="409"/>
      <w:bookmarkEnd w:id="410"/>
      <w:bookmarkEnd w:id="411"/>
      <w:bookmarkEnd w:id="412"/>
      <w:bookmarkEnd w:id="413"/>
    </w:p>
    <w:p w14:paraId="235009C8">
      <w:pPr>
        <w:pStyle w:val="11"/>
        <w:spacing w:line="360" w:lineRule="auto"/>
        <w:ind w:leftChars="0" w:firstLine="560" w:firstLineChars="200"/>
        <w:jc w:val="both"/>
        <w:rPr>
          <w:rFonts w:ascii="Times New Roman" w:hAnsi="Times New Roman" w:eastAsia="宋体" w:cs="Times New Roman"/>
          <w:sz w:val="28"/>
          <w:szCs w:val="28"/>
        </w:rPr>
      </w:pPr>
      <w:r>
        <w:rPr>
          <w:rFonts w:ascii="Times New Roman" w:hAnsi="Times New Roman" w:eastAsia="宋体" w:cs="Times New Roman"/>
          <w:sz w:val="28"/>
          <w:szCs w:val="28"/>
        </w:rPr>
        <w:t>规划图件为规划文本附件，具有与文本同等的法律效力。</w:t>
      </w:r>
    </w:p>
    <w:p w14:paraId="6354E95C">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5E99E98A">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052CA521">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35869EAF">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2B721EFB">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098876D8">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261DEC39">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39FEDD60">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153319AE">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0B5987BF">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446CF337">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2A046409">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58C8B557">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15BA295E">
      <w:pPr>
        <w:numPr>
          <w:ilvl w:val="0"/>
          <w:numId w:val="0"/>
        </w:numPr>
        <w:spacing w:line="360" w:lineRule="auto"/>
        <w:ind w:left="0" w:leftChars="0" w:firstLine="560" w:firstLineChars="200"/>
        <w:jc w:val="both"/>
        <w:rPr>
          <w:rFonts w:hint="eastAsia" w:ascii="宋体" w:hAnsi="宋体" w:eastAsia="宋体" w:cs="宋体"/>
          <w:sz w:val="28"/>
          <w:szCs w:val="28"/>
          <w:lang w:val="en-US" w:eastAsia="zh-CN"/>
        </w:rPr>
      </w:pPr>
    </w:p>
    <w:p w14:paraId="468CDA85">
      <w:pPr>
        <w:numPr>
          <w:ilvl w:val="0"/>
          <w:numId w:val="0"/>
        </w:numPr>
        <w:spacing w:line="360" w:lineRule="auto"/>
        <w:jc w:val="both"/>
        <w:rPr>
          <w:rFonts w:hint="eastAsia" w:ascii="宋体" w:hAnsi="宋体" w:eastAsia="宋体" w:cs="宋体"/>
          <w:sz w:val="28"/>
          <w:szCs w:val="28"/>
          <w:lang w:val="en-US" w:eastAsia="zh-CN"/>
        </w:rPr>
      </w:pPr>
    </w:p>
    <w:p w14:paraId="13E0E15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Times New Roman" w:hAnsi="Times New Roman" w:eastAsia="黑体" w:cs="Times New Roman"/>
          <w:color w:val="000000"/>
          <w:kern w:val="44"/>
          <w:sz w:val="32"/>
          <w:szCs w:val="44"/>
          <w:lang w:val="en-US" w:eastAsia="zh-CN" w:bidi="ar-SA"/>
        </w:rPr>
      </w:pPr>
      <w:bookmarkStart w:id="414" w:name="_Toc27250"/>
      <w:bookmarkStart w:id="415" w:name="_Toc29719"/>
      <w:bookmarkStart w:id="416" w:name="_Toc18200"/>
      <w:bookmarkStart w:id="417" w:name="_Toc11278"/>
      <w:bookmarkStart w:id="418" w:name="_Toc7144"/>
      <w:bookmarkStart w:id="419" w:name="_Toc470"/>
      <w:bookmarkStart w:id="420" w:name="_Toc2985"/>
      <w:r>
        <w:rPr>
          <w:rFonts w:hint="eastAsia" w:eastAsia="黑体" w:cs="Times New Roman"/>
          <w:color w:val="000000"/>
          <w:kern w:val="44"/>
          <w:sz w:val="32"/>
          <w:szCs w:val="44"/>
          <w:lang w:val="en-US" w:eastAsia="zh-CN" w:bidi="ar-SA"/>
        </w:rPr>
        <w:t>友好区</w:t>
      </w:r>
      <w:r>
        <w:rPr>
          <w:rFonts w:hint="eastAsia" w:ascii="Times New Roman" w:hAnsi="Times New Roman" w:eastAsia="黑体" w:cs="Times New Roman"/>
          <w:color w:val="000000"/>
          <w:kern w:val="44"/>
          <w:sz w:val="32"/>
          <w:szCs w:val="44"/>
          <w:lang w:val="en-US" w:eastAsia="zh-CN" w:bidi="ar-SA"/>
        </w:rPr>
        <w:t>养殖水域滩涂规划（2025-2030）规划图集</w:t>
      </w:r>
      <w:bookmarkEnd w:id="414"/>
      <w:bookmarkEnd w:id="415"/>
      <w:bookmarkEnd w:id="416"/>
      <w:bookmarkEnd w:id="417"/>
      <w:bookmarkEnd w:id="418"/>
    </w:p>
    <w:p w14:paraId="19625E36">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附图1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行政区划图</w:t>
      </w:r>
      <w:bookmarkEnd w:id="419"/>
      <w:bookmarkEnd w:id="420"/>
    </w:p>
    <w:p w14:paraId="63F3EE81">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28"/>
          <w:szCs w:val="28"/>
          <w:lang w:val="en-US" w:eastAsia="zh-CN"/>
        </w:rPr>
      </w:pPr>
    </w:p>
    <w:p w14:paraId="0EFF2927">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1" name="图片 1" descr="友好区养殖滩涂规划行政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友好区养殖滩涂规划行政区划图"/>
                    <pic:cNvPicPr>
                      <a:picLocks noChangeAspect="1"/>
                    </pic:cNvPicPr>
                  </pic:nvPicPr>
                  <pic:blipFill>
                    <a:blip r:embed="rId16"/>
                    <a:stretch>
                      <a:fillRect/>
                    </a:stretch>
                  </pic:blipFill>
                  <pic:spPr>
                    <a:xfrm>
                      <a:off x="0" y="0"/>
                      <a:ext cx="5864860" cy="6191250"/>
                    </a:xfrm>
                    <a:prstGeom prst="rect">
                      <a:avLst/>
                    </a:prstGeom>
                  </pic:spPr>
                </pic:pic>
              </a:graphicData>
            </a:graphic>
          </wp:inline>
        </w:drawing>
      </w:r>
    </w:p>
    <w:p w14:paraId="45530717">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A5695BE">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FC04EC2">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59238D39">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28"/>
          <w:szCs w:val="28"/>
          <w:lang w:val="en-US" w:eastAsia="zh-CN"/>
        </w:rPr>
      </w:pPr>
      <w:bookmarkStart w:id="421" w:name="_Toc24445"/>
      <w:bookmarkStart w:id="422" w:name="_Toc17894"/>
    </w:p>
    <w:p w14:paraId="6756E95C">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ascii="宋体" w:hAnsi="宋体" w:eastAsia="宋体" w:cs="宋体"/>
          <w:color w:val="auto"/>
          <w:sz w:val="28"/>
          <w:szCs w:val="28"/>
          <w:lang w:val="en-US" w:eastAsia="zh-CN"/>
        </w:rPr>
        <w:t>附图2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水系分布图</w:t>
      </w:r>
      <w:bookmarkEnd w:id="421"/>
      <w:bookmarkEnd w:id="422"/>
    </w:p>
    <w:p w14:paraId="10CB75E5">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E560121">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2" name="图片 2" descr="友好区养殖滩涂规划水系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友好区养殖滩涂规划水系分布图"/>
                    <pic:cNvPicPr>
                      <a:picLocks noChangeAspect="1"/>
                    </pic:cNvPicPr>
                  </pic:nvPicPr>
                  <pic:blipFill>
                    <a:blip r:embed="rId17"/>
                    <a:stretch>
                      <a:fillRect/>
                    </a:stretch>
                  </pic:blipFill>
                  <pic:spPr>
                    <a:xfrm>
                      <a:off x="0" y="0"/>
                      <a:ext cx="5864860" cy="6191250"/>
                    </a:xfrm>
                    <a:prstGeom prst="rect">
                      <a:avLst/>
                    </a:prstGeom>
                  </pic:spPr>
                </pic:pic>
              </a:graphicData>
            </a:graphic>
          </wp:inline>
        </w:drawing>
      </w:r>
    </w:p>
    <w:p w14:paraId="63767377">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4A43DE3A">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EBA9441">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0BAC9BAE">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9705F56">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5DFC23A3">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ABC31B0">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bookmarkStart w:id="423" w:name="_Toc24430"/>
      <w:bookmarkStart w:id="424" w:name="_Toc12942"/>
      <w:r>
        <w:rPr>
          <w:rFonts w:hint="eastAsia" w:ascii="宋体" w:hAnsi="宋体" w:eastAsia="宋体" w:cs="宋体"/>
          <w:color w:val="auto"/>
          <w:sz w:val="28"/>
          <w:szCs w:val="28"/>
          <w:lang w:val="en-US" w:eastAsia="zh-CN"/>
        </w:rPr>
        <w:t>附图3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地形地貌图</w:t>
      </w:r>
      <w:bookmarkEnd w:id="423"/>
      <w:bookmarkEnd w:id="424"/>
    </w:p>
    <w:p w14:paraId="47EDE19B">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0819BF69">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3" name="图片 3" descr="友好区养殖滩涂规划地形地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友好区养殖滩涂规划地形地貌图"/>
                    <pic:cNvPicPr>
                      <a:picLocks noChangeAspect="1"/>
                    </pic:cNvPicPr>
                  </pic:nvPicPr>
                  <pic:blipFill>
                    <a:blip r:embed="rId18"/>
                    <a:stretch>
                      <a:fillRect/>
                    </a:stretch>
                  </pic:blipFill>
                  <pic:spPr>
                    <a:xfrm>
                      <a:off x="0" y="0"/>
                      <a:ext cx="5864860" cy="6191250"/>
                    </a:xfrm>
                    <a:prstGeom prst="rect">
                      <a:avLst/>
                    </a:prstGeom>
                  </pic:spPr>
                </pic:pic>
              </a:graphicData>
            </a:graphic>
          </wp:inline>
        </w:drawing>
      </w:r>
    </w:p>
    <w:p w14:paraId="0E0E4039">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3A66841">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374AF02">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2FC8604">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36670B7">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43A0D77A">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D4B9FB6">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bookmarkStart w:id="425" w:name="_Toc15004"/>
      <w:bookmarkStart w:id="426" w:name="_Toc14363"/>
      <w:r>
        <w:rPr>
          <w:rFonts w:hint="eastAsia" w:ascii="宋体" w:hAnsi="宋体" w:eastAsia="宋体" w:cs="宋体"/>
          <w:color w:val="auto"/>
          <w:sz w:val="28"/>
          <w:szCs w:val="28"/>
          <w:lang w:val="en-US" w:eastAsia="zh-CN"/>
        </w:rPr>
        <w:t>附图4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土地利用现状图</w:t>
      </w:r>
      <w:bookmarkEnd w:id="425"/>
      <w:bookmarkEnd w:id="426"/>
    </w:p>
    <w:p w14:paraId="10A73BE0">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03D4AE0E">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4" name="图片 4" descr="友好区养殖滩涂规划土地利用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友好区养殖滩涂规划土地利用现状图"/>
                    <pic:cNvPicPr>
                      <a:picLocks noChangeAspect="1"/>
                    </pic:cNvPicPr>
                  </pic:nvPicPr>
                  <pic:blipFill>
                    <a:blip r:embed="rId19"/>
                    <a:stretch>
                      <a:fillRect/>
                    </a:stretch>
                  </pic:blipFill>
                  <pic:spPr>
                    <a:xfrm>
                      <a:off x="0" y="0"/>
                      <a:ext cx="5864860" cy="6191250"/>
                    </a:xfrm>
                    <a:prstGeom prst="rect">
                      <a:avLst/>
                    </a:prstGeom>
                  </pic:spPr>
                </pic:pic>
              </a:graphicData>
            </a:graphic>
          </wp:inline>
        </w:drawing>
      </w:r>
    </w:p>
    <w:p w14:paraId="7D0746DA">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4EDA98B">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3740B4E">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AF41FF0">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3B4E4C8A">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43736D65">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EFFCC78">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bookmarkStart w:id="427" w:name="_Toc27056"/>
      <w:bookmarkStart w:id="428" w:name="_Toc11971"/>
      <w:r>
        <w:rPr>
          <w:rFonts w:hint="eastAsia" w:ascii="宋体" w:hAnsi="宋体" w:eastAsia="宋体" w:cs="宋体"/>
          <w:color w:val="auto"/>
          <w:sz w:val="28"/>
          <w:szCs w:val="28"/>
          <w:lang w:val="en-US" w:eastAsia="zh-CN"/>
        </w:rPr>
        <w:t>附图5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养殖水域滩涂规划系列图</w:t>
      </w:r>
      <w:bookmarkEnd w:id="427"/>
      <w:bookmarkEnd w:id="428"/>
    </w:p>
    <w:p w14:paraId="5BB3D174">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13" name="图片 13" descr="友好区养殖水域滩涂规划系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友好区养殖水域滩涂规划系列图"/>
                    <pic:cNvPicPr>
                      <a:picLocks noChangeAspect="1"/>
                    </pic:cNvPicPr>
                  </pic:nvPicPr>
                  <pic:blipFill>
                    <a:blip r:embed="rId20"/>
                    <a:stretch>
                      <a:fillRect/>
                    </a:stretch>
                  </pic:blipFill>
                  <pic:spPr>
                    <a:xfrm>
                      <a:off x="0" y="0"/>
                      <a:ext cx="5864860" cy="6191250"/>
                    </a:xfrm>
                    <a:prstGeom prst="rect">
                      <a:avLst/>
                    </a:prstGeom>
                  </pic:spPr>
                </pic:pic>
              </a:graphicData>
            </a:graphic>
          </wp:inline>
        </w:drawing>
      </w:r>
    </w:p>
    <w:p w14:paraId="7EA3948A">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3AA33E2C">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3CC770B">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4C53E8F">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1BE6B6DD">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52698F04">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1FB71B99">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5E43B0FA">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28"/>
          <w:szCs w:val="28"/>
          <w:lang w:val="en-US" w:eastAsia="zh-CN"/>
        </w:rPr>
      </w:pPr>
      <w:bookmarkStart w:id="429" w:name="_Toc14880"/>
      <w:bookmarkStart w:id="430" w:name="_Toc18205"/>
      <w:r>
        <w:rPr>
          <w:rFonts w:hint="eastAsia" w:ascii="宋体" w:hAnsi="宋体" w:eastAsia="宋体" w:cs="宋体"/>
          <w:color w:val="auto"/>
          <w:sz w:val="28"/>
          <w:szCs w:val="28"/>
          <w:lang w:val="en-US" w:eastAsia="zh-CN"/>
        </w:rPr>
        <w:t>附图6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养殖滩涂规划禁养区规划图</w:t>
      </w:r>
      <w:bookmarkEnd w:id="429"/>
      <w:bookmarkEnd w:id="430"/>
    </w:p>
    <w:p w14:paraId="3DE2631C">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715A5A04">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6" name="图片 6" descr="友好区养殖滩涂规划禁养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友好区养殖滩涂规划禁养区规划图"/>
                    <pic:cNvPicPr>
                      <a:picLocks noChangeAspect="1"/>
                    </pic:cNvPicPr>
                  </pic:nvPicPr>
                  <pic:blipFill>
                    <a:blip r:embed="rId21"/>
                    <a:stretch>
                      <a:fillRect/>
                    </a:stretch>
                  </pic:blipFill>
                  <pic:spPr>
                    <a:xfrm>
                      <a:off x="0" y="0"/>
                      <a:ext cx="5864860" cy="6191250"/>
                    </a:xfrm>
                    <a:prstGeom prst="rect">
                      <a:avLst/>
                    </a:prstGeom>
                  </pic:spPr>
                </pic:pic>
              </a:graphicData>
            </a:graphic>
          </wp:inline>
        </w:drawing>
      </w:r>
    </w:p>
    <w:p w14:paraId="3DAFEE02">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4761C35">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073038E9">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A164617">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042645AE">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5F484FC3">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36C15493">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28"/>
          <w:szCs w:val="28"/>
          <w:lang w:val="en-US" w:eastAsia="zh-CN"/>
        </w:rPr>
      </w:pPr>
      <w:bookmarkStart w:id="431" w:name="_Toc2217"/>
      <w:bookmarkStart w:id="432" w:name="_Toc21040"/>
      <w:r>
        <w:rPr>
          <w:rFonts w:hint="eastAsia" w:ascii="宋体" w:hAnsi="宋体" w:eastAsia="宋体" w:cs="宋体"/>
          <w:color w:val="auto"/>
          <w:sz w:val="28"/>
          <w:szCs w:val="28"/>
          <w:lang w:val="en-US" w:eastAsia="zh-CN"/>
        </w:rPr>
        <w:t>附图7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养殖滩涂规划限养区规划图</w:t>
      </w:r>
      <w:bookmarkEnd w:id="431"/>
      <w:bookmarkEnd w:id="432"/>
    </w:p>
    <w:p w14:paraId="11EAA74C">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41E24F7">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r>
        <w:rPr>
          <w:rFonts w:hint="eastAsia" w:eastAsia="宋体" w:cs="Times New Roman"/>
          <w:color w:val="auto"/>
          <w:lang w:val="en-US" w:eastAsia="zh-CN"/>
        </w:rPr>
        <w:drawing>
          <wp:inline distT="0" distB="0" distL="114300" distR="114300">
            <wp:extent cx="5864860" cy="6191250"/>
            <wp:effectExtent l="0" t="0" r="2540" b="11430"/>
            <wp:docPr id="7" name="图片 7" descr="友好区养殖滩涂规划限养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友好区养殖滩涂规划限养区规划图"/>
                    <pic:cNvPicPr>
                      <a:picLocks noChangeAspect="1"/>
                    </pic:cNvPicPr>
                  </pic:nvPicPr>
                  <pic:blipFill>
                    <a:blip r:embed="rId22"/>
                    <a:stretch>
                      <a:fillRect/>
                    </a:stretch>
                  </pic:blipFill>
                  <pic:spPr>
                    <a:xfrm>
                      <a:off x="0" y="0"/>
                      <a:ext cx="5864860" cy="6191250"/>
                    </a:xfrm>
                    <a:prstGeom prst="rect">
                      <a:avLst/>
                    </a:prstGeom>
                  </pic:spPr>
                </pic:pic>
              </a:graphicData>
            </a:graphic>
          </wp:inline>
        </w:drawing>
      </w:r>
    </w:p>
    <w:p w14:paraId="19582AEB">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6B535180">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11D3A124">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44442CD8">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1390650E">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272519DA">
      <w:pPr>
        <w:keepNext w:val="0"/>
        <w:keepLines w:val="0"/>
        <w:pageBreakBefore w:val="0"/>
        <w:widowControl w:val="0"/>
        <w:kinsoku/>
        <w:wordWrap/>
        <w:overflowPunct/>
        <w:topLinePunct w:val="0"/>
        <w:autoSpaceDE/>
        <w:autoSpaceDN/>
        <w:bidi w:val="0"/>
        <w:adjustRightInd/>
        <w:snapToGrid/>
        <w:textAlignment w:val="auto"/>
        <w:outlineLvl w:val="9"/>
        <w:rPr>
          <w:rFonts w:hint="eastAsia" w:eastAsia="宋体" w:cs="Times New Roman"/>
          <w:color w:val="auto"/>
          <w:lang w:val="en-US" w:eastAsia="zh-CN"/>
        </w:rPr>
      </w:pPr>
    </w:p>
    <w:p w14:paraId="5ABFA06B">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sz w:val="24"/>
          <w:szCs w:val="24"/>
          <w:lang w:val="en-US" w:eastAsia="zh-CN"/>
        </w:rPr>
      </w:pPr>
      <w:bookmarkStart w:id="433" w:name="_Toc20768"/>
      <w:bookmarkStart w:id="434" w:name="_Toc30052"/>
      <w:r>
        <w:rPr>
          <w:rFonts w:hint="eastAsia" w:ascii="宋体" w:hAnsi="宋体" w:eastAsia="宋体" w:cs="宋体"/>
          <w:color w:val="auto"/>
          <w:sz w:val="28"/>
          <w:szCs w:val="28"/>
          <w:lang w:val="en-US" w:eastAsia="zh-CN"/>
        </w:rPr>
        <w:t>附图8 伊春市</w:t>
      </w:r>
      <w:r>
        <w:rPr>
          <w:rFonts w:hint="eastAsia" w:ascii="宋体" w:hAnsi="宋体" w:cs="宋体"/>
          <w:color w:val="auto"/>
          <w:sz w:val="28"/>
          <w:szCs w:val="28"/>
          <w:lang w:val="en-US" w:eastAsia="zh-CN"/>
        </w:rPr>
        <w:t>友好区</w:t>
      </w:r>
      <w:r>
        <w:rPr>
          <w:rFonts w:hint="eastAsia" w:ascii="宋体" w:hAnsi="宋体" w:eastAsia="宋体" w:cs="宋体"/>
          <w:color w:val="auto"/>
          <w:sz w:val="28"/>
          <w:szCs w:val="28"/>
          <w:lang w:val="en-US" w:eastAsia="zh-CN"/>
        </w:rPr>
        <w:t>养殖滩涂规划养殖区规划图</w:t>
      </w:r>
      <w:bookmarkEnd w:id="433"/>
      <w:bookmarkEnd w:id="434"/>
    </w:p>
    <w:p w14:paraId="35718E89">
      <w:pPr>
        <w:jc w:val="both"/>
        <w:rPr>
          <w:rFonts w:hint="default" w:ascii="Times New Roman" w:hAnsi="Times New Roman" w:eastAsia="宋体" w:cs="Times New Roman"/>
          <w:sz w:val="24"/>
          <w:szCs w:val="24"/>
          <w:lang w:val="en-US" w:eastAsia="zh-CN"/>
        </w:rPr>
      </w:pPr>
    </w:p>
    <w:p w14:paraId="09529341">
      <w:pPr>
        <w:jc w:val="center"/>
        <w:rPr>
          <w:rFonts w:hint="default" w:ascii="Times New Roman" w:hAnsi="Times New Roman" w:eastAsia="宋体" w:cs="Times New Roman"/>
          <w:sz w:val="24"/>
          <w:szCs w:val="24"/>
          <w:lang w:val="en-US" w:eastAsia="zh-CN"/>
        </w:rPr>
      </w:pPr>
    </w:p>
    <w:p w14:paraId="44EDA095">
      <w:pPr>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864860" cy="6191250"/>
            <wp:effectExtent l="0" t="0" r="2540" b="11430"/>
            <wp:docPr id="14" name="图片 14" descr="友好区养殖滩涂规划养殖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友好区养殖滩涂规划养殖区规划图"/>
                    <pic:cNvPicPr>
                      <a:picLocks noChangeAspect="1"/>
                    </pic:cNvPicPr>
                  </pic:nvPicPr>
                  <pic:blipFill>
                    <a:blip r:embed="rId23"/>
                    <a:stretch>
                      <a:fillRect/>
                    </a:stretch>
                  </pic:blipFill>
                  <pic:spPr>
                    <a:xfrm>
                      <a:off x="0" y="0"/>
                      <a:ext cx="5864860" cy="6191250"/>
                    </a:xfrm>
                    <a:prstGeom prst="rect">
                      <a:avLst/>
                    </a:prstGeom>
                  </pic:spPr>
                </pic:pic>
              </a:graphicData>
            </a:graphic>
          </wp:inline>
        </w:drawing>
      </w:r>
    </w:p>
    <w:p w14:paraId="0F4FA28E">
      <w:pPr>
        <w:jc w:val="center"/>
        <w:rPr>
          <w:rFonts w:hint="default" w:ascii="Times New Roman" w:hAnsi="Times New Roman" w:eastAsia="宋体" w:cs="Times New Roman"/>
          <w:sz w:val="24"/>
          <w:szCs w:val="24"/>
          <w:lang w:val="en-US" w:eastAsia="zh-CN"/>
        </w:rPr>
      </w:pPr>
    </w:p>
    <w:p w14:paraId="1852B74B">
      <w:pPr>
        <w:jc w:val="center"/>
        <w:rPr>
          <w:rFonts w:hint="default" w:ascii="Times New Roman" w:hAnsi="Times New Roman" w:eastAsia="宋体" w:cs="Times New Roman"/>
          <w:sz w:val="24"/>
          <w:szCs w:val="24"/>
          <w:lang w:val="en-US" w:eastAsia="zh-CN"/>
        </w:rPr>
      </w:pPr>
    </w:p>
    <w:p w14:paraId="6461831C">
      <w:pPr>
        <w:jc w:val="center"/>
        <w:rPr>
          <w:rFonts w:hint="default" w:ascii="Times New Roman" w:hAnsi="Times New Roman" w:eastAsia="宋体" w:cs="Times New Roman"/>
          <w:sz w:val="24"/>
          <w:szCs w:val="24"/>
          <w:lang w:val="en-US" w:eastAsia="zh-CN"/>
        </w:rPr>
      </w:pPr>
    </w:p>
    <w:p w14:paraId="6DA6F216">
      <w:pPr>
        <w:jc w:val="center"/>
        <w:rPr>
          <w:rFonts w:hint="default" w:ascii="Times New Roman" w:hAnsi="Times New Roman" w:eastAsia="宋体" w:cs="Times New Roman"/>
          <w:sz w:val="24"/>
          <w:szCs w:val="24"/>
          <w:lang w:val="en-US" w:eastAsia="zh-CN"/>
        </w:rPr>
      </w:pPr>
    </w:p>
    <w:p w14:paraId="445206DC">
      <w:pPr>
        <w:jc w:val="center"/>
        <w:rPr>
          <w:rFonts w:hint="default" w:ascii="Times New Roman" w:hAnsi="Times New Roman" w:eastAsia="宋体" w:cs="Times New Roman"/>
          <w:sz w:val="24"/>
          <w:szCs w:val="24"/>
          <w:lang w:val="en-US" w:eastAsia="zh-CN"/>
        </w:rPr>
      </w:pPr>
    </w:p>
    <w:p w14:paraId="62D4E75E">
      <w:pPr>
        <w:jc w:val="center"/>
        <w:rPr>
          <w:rFonts w:hint="default" w:ascii="Times New Roman" w:hAnsi="Times New Roman" w:eastAsia="宋体" w:cs="Times New Roman"/>
          <w:sz w:val="24"/>
          <w:szCs w:val="24"/>
          <w:lang w:val="en-US" w:eastAsia="zh-CN"/>
        </w:rPr>
      </w:pPr>
    </w:p>
    <w:p w14:paraId="1C3FFD9D">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8"/>
          <w:szCs w:val="28"/>
          <w:lang w:val="en-US" w:eastAsia="zh-CN"/>
        </w:rPr>
      </w:pPr>
      <w:bookmarkStart w:id="435" w:name="_Toc24027"/>
      <w:bookmarkStart w:id="436" w:name="_Toc12465"/>
      <w:bookmarkStart w:id="437" w:name="_Toc5173"/>
      <w:r>
        <w:rPr>
          <w:rFonts w:hint="eastAsia" w:ascii="宋体" w:hAnsi="宋体" w:eastAsia="宋体" w:cs="宋体"/>
          <w:color w:val="auto"/>
          <w:sz w:val="28"/>
          <w:szCs w:val="28"/>
          <w:lang w:val="en-US" w:eastAsia="zh-CN"/>
        </w:rPr>
        <w:t>附图</w:t>
      </w:r>
      <w:r>
        <w:rPr>
          <w:rFonts w:hint="eastAsia" w:ascii="宋体" w:hAnsi="宋体" w:cs="宋体"/>
          <w:color w:val="auto"/>
          <w:sz w:val="28"/>
          <w:szCs w:val="28"/>
          <w:lang w:val="en-US" w:eastAsia="zh-CN"/>
        </w:rPr>
        <w:t>9</w:t>
      </w: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友好区上甘岭镇</w:t>
      </w:r>
      <w:r>
        <w:rPr>
          <w:rFonts w:hint="eastAsia" w:ascii="宋体" w:hAnsi="宋体" w:eastAsia="宋体" w:cs="宋体"/>
          <w:color w:val="auto"/>
          <w:sz w:val="28"/>
          <w:szCs w:val="28"/>
          <w:lang w:val="en-US" w:eastAsia="zh-CN"/>
        </w:rPr>
        <w:t>养殖滩涂规划禁养区、限养区和养殖区规划图</w:t>
      </w:r>
      <w:bookmarkEnd w:id="435"/>
      <w:bookmarkEnd w:id="436"/>
      <w:bookmarkEnd w:id="437"/>
    </w:p>
    <w:p w14:paraId="452D8307">
      <w:pPr>
        <w:jc w:val="both"/>
        <w:rPr>
          <w:rFonts w:hint="default" w:ascii="Times New Roman" w:hAnsi="Times New Roman" w:eastAsia="宋体" w:cs="Times New Roman"/>
          <w:sz w:val="24"/>
          <w:szCs w:val="24"/>
          <w:lang w:val="en-US" w:eastAsia="zh-CN"/>
        </w:rPr>
      </w:pPr>
    </w:p>
    <w:p w14:paraId="71081367">
      <w:pPr>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864860" cy="5864860"/>
            <wp:effectExtent l="0" t="0" r="2540" b="2540"/>
            <wp:docPr id="9" name="图片 9" descr="友好区养殖水域上甘岭镇养殖滩涂规划禁养区、限养区和养殖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友好区养殖水域上甘岭镇养殖滩涂规划禁养区、限养区和养殖区规划图"/>
                    <pic:cNvPicPr>
                      <a:picLocks noChangeAspect="1"/>
                    </pic:cNvPicPr>
                  </pic:nvPicPr>
                  <pic:blipFill>
                    <a:blip r:embed="rId24"/>
                    <a:stretch>
                      <a:fillRect/>
                    </a:stretch>
                  </pic:blipFill>
                  <pic:spPr>
                    <a:xfrm>
                      <a:off x="0" y="0"/>
                      <a:ext cx="5864860" cy="5864860"/>
                    </a:xfrm>
                    <a:prstGeom prst="rect">
                      <a:avLst/>
                    </a:prstGeom>
                  </pic:spPr>
                </pic:pic>
              </a:graphicData>
            </a:graphic>
          </wp:inline>
        </w:drawing>
      </w:r>
    </w:p>
    <w:p w14:paraId="6640E11A">
      <w:pPr>
        <w:jc w:val="both"/>
        <w:rPr>
          <w:rFonts w:hint="default" w:ascii="Times New Roman" w:hAnsi="Times New Roman" w:eastAsia="宋体" w:cs="Times New Roman"/>
          <w:sz w:val="24"/>
          <w:szCs w:val="24"/>
          <w:lang w:val="en-US" w:eastAsia="zh-CN"/>
        </w:rPr>
      </w:pPr>
    </w:p>
    <w:p w14:paraId="0718ED79">
      <w:pPr>
        <w:jc w:val="both"/>
        <w:rPr>
          <w:rFonts w:hint="default" w:ascii="Times New Roman" w:hAnsi="Times New Roman" w:eastAsia="宋体" w:cs="Times New Roman"/>
          <w:sz w:val="24"/>
          <w:szCs w:val="24"/>
          <w:lang w:val="en-US" w:eastAsia="zh-CN"/>
        </w:rPr>
      </w:pPr>
    </w:p>
    <w:p w14:paraId="68AEB9C7">
      <w:pPr>
        <w:jc w:val="both"/>
        <w:rPr>
          <w:rFonts w:hint="default" w:ascii="Times New Roman" w:hAnsi="Times New Roman" w:eastAsia="宋体" w:cs="Times New Roman"/>
          <w:sz w:val="24"/>
          <w:szCs w:val="24"/>
          <w:lang w:val="en-US" w:eastAsia="zh-CN"/>
        </w:rPr>
      </w:pPr>
    </w:p>
    <w:p w14:paraId="168639A1">
      <w:pPr>
        <w:jc w:val="both"/>
        <w:rPr>
          <w:rFonts w:hint="default" w:ascii="Times New Roman" w:hAnsi="Times New Roman" w:eastAsia="宋体" w:cs="Times New Roman"/>
          <w:sz w:val="24"/>
          <w:szCs w:val="24"/>
          <w:lang w:val="en-US" w:eastAsia="zh-CN"/>
        </w:rPr>
      </w:pPr>
    </w:p>
    <w:p w14:paraId="613E9035">
      <w:pPr>
        <w:jc w:val="both"/>
        <w:rPr>
          <w:rFonts w:hint="default" w:ascii="Times New Roman" w:hAnsi="Times New Roman" w:eastAsia="宋体" w:cs="Times New Roman"/>
          <w:sz w:val="24"/>
          <w:szCs w:val="24"/>
          <w:lang w:val="en-US" w:eastAsia="zh-CN"/>
        </w:rPr>
      </w:pPr>
    </w:p>
    <w:p w14:paraId="7E1CB2F2">
      <w:pPr>
        <w:jc w:val="both"/>
        <w:rPr>
          <w:rFonts w:hint="default" w:ascii="Times New Roman" w:hAnsi="Times New Roman" w:eastAsia="宋体" w:cs="Times New Roman"/>
          <w:sz w:val="24"/>
          <w:szCs w:val="24"/>
          <w:lang w:val="en-US" w:eastAsia="zh-CN"/>
        </w:rPr>
      </w:pPr>
    </w:p>
    <w:p w14:paraId="61537E26">
      <w:pPr>
        <w:jc w:val="both"/>
        <w:rPr>
          <w:rFonts w:hint="default" w:ascii="Times New Roman" w:hAnsi="Times New Roman" w:eastAsia="宋体" w:cs="Times New Roman"/>
          <w:sz w:val="24"/>
          <w:szCs w:val="24"/>
          <w:lang w:val="en-US" w:eastAsia="zh-CN"/>
        </w:rPr>
      </w:pPr>
    </w:p>
    <w:p w14:paraId="5F55C259">
      <w:pPr>
        <w:jc w:val="both"/>
        <w:rPr>
          <w:rFonts w:hint="default" w:ascii="Times New Roman" w:hAnsi="Times New Roman" w:eastAsia="宋体" w:cs="Times New Roman"/>
          <w:sz w:val="24"/>
          <w:szCs w:val="24"/>
          <w:lang w:val="en-US" w:eastAsia="zh-CN"/>
        </w:rPr>
      </w:pPr>
    </w:p>
    <w:p w14:paraId="07D42B3E">
      <w:pPr>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友好区双子河街道</w:t>
      </w:r>
      <w:r>
        <w:rPr>
          <w:rFonts w:hint="eastAsia" w:ascii="宋体" w:hAnsi="宋体" w:eastAsia="宋体" w:cs="宋体"/>
          <w:color w:val="auto"/>
          <w:sz w:val="28"/>
          <w:szCs w:val="28"/>
          <w:lang w:val="en-US" w:eastAsia="zh-CN"/>
        </w:rPr>
        <w:t>养殖滩涂规划禁养区、限养区和养殖区规划图</w:t>
      </w:r>
    </w:p>
    <w:p w14:paraId="5D66AA19">
      <w:pPr>
        <w:jc w:val="both"/>
        <w:rPr>
          <w:rFonts w:hint="default" w:ascii="宋体" w:hAnsi="宋体" w:eastAsia="宋体" w:cs="宋体"/>
          <w:color w:val="auto"/>
          <w:sz w:val="28"/>
          <w:szCs w:val="28"/>
          <w:lang w:val="en-US" w:eastAsia="zh-CN"/>
        </w:rPr>
      </w:pPr>
    </w:p>
    <w:p w14:paraId="476BE79A">
      <w:pPr>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864860" cy="5864860"/>
            <wp:effectExtent l="0" t="0" r="2540" b="2540"/>
            <wp:docPr id="10" name="图片 10" descr="友好区养殖水域双子河街道养殖滩涂规划禁养区、限养区和养殖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友好区养殖水域双子河街道养殖滩涂规划禁养区、限养区和养殖区规划图"/>
                    <pic:cNvPicPr>
                      <a:picLocks noChangeAspect="1"/>
                    </pic:cNvPicPr>
                  </pic:nvPicPr>
                  <pic:blipFill>
                    <a:blip r:embed="rId25"/>
                    <a:stretch>
                      <a:fillRect/>
                    </a:stretch>
                  </pic:blipFill>
                  <pic:spPr>
                    <a:xfrm>
                      <a:off x="0" y="0"/>
                      <a:ext cx="5864860" cy="5864860"/>
                    </a:xfrm>
                    <a:prstGeom prst="rect">
                      <a:avLst/>
                    </a:prstGeom>
                  </pic:spPr>
                </pic:pic>
              </a:graphicData>
            </a:graphic>
          </wp:inline>
        </w:drawing>
      </w:r>
    </w:p>
    <w:p w14:paraId="3AFD4512">
      <w:pPr>
        <w:jc w:val="both"/>
        <w:rPr>
          <w:rFonts w:hint="default" w:ascii="宋体" w:hAnsi="宋体" w:eastAsia="宋体" w:cs="宋体"/>
          <w:color w:val="auto"/>
          <w:sz w:val="28"/>
          <w:szCs w:val="28"/>
          <w:lang w:val="en-US" w:eastAsia="zh-CN"/>
        </w:rPr>
      </w:pPr>
    </w:p>
    <w:p w14:paraId="4FA4D937">
      <w:pPr>
        <w:jc w:val="both"/>
        <w:rPr>
          <w:rFonts w:hint="default" w:ascii="宋体" w:hAnsi="宋体" w:eastAsia="宋体" w:cs="宋体"/>
          <w:color w:val="auto"/>
          <w:sz w:val="28"/>
          <w:szCs w:val="28"/>
          <w:lang w:val="en-US" w:eastAsia="zh-CN"/>
        </w:rPr>
      </w:pPr>
    </w:p>
    <w:p w14:paraId="36F548DC">
      <w:pPr>
        <w:jc w:val="both"/>
        <w:rPr>
          <w:rFonts w:hint="default" w:ascii="宋体" w:hAnsi="宋体" w:eastAsia="宋体" w:cs="宋体"/>
          <w:color w:val="auto"/>
          <w:sz w:val="28"/>
          <w:szCs w:val="28"/>
          <w:lang w:val="en-US" w:eastAsia="zh-CN"/>
        </w:rPr>
      </w:pPr>
    </w:p>
    <w:p w14:paraId="369FDD95">
      <w:pPr>
        <w:jc w:val="both"/>
        <w:rPr>
          <w:rFonts w:hint="default" w:ascii="宋体" w:hAnsi="宋体" w:eastAsia="宋体" w:cs="宋体"/>
          <w:color w:val="auto"/>
          <w:sz w:val="28"/>
          <w:szCs w:val="28"/>
          <w:lang w:val="en-US" w:eastAsia="zh-CN"/>
        </w:rPr>
      </w:pPr>
    </w:p>
    <w:p w14:paraId="6E51DDA4">
      <w:pPr>
        <w:jc w:val="both"/>
        <w:rPr>
          <w:rFonts w:hint="default" w:ascii="宋体" w:hAnsi="宋体" w:eastAsia="宋体" w:cs="宋体"/>
          <w:color w:val="auto"/>
          <w:sz w:val="28"/>
          <w:szCs w:val="28"/>
          <w:lang w:val="en-US" w:eastAsia="zh-CN"/>
        </w:rPr>
      </w:pPr>
    </w:p>
    <w:p w14:paraId="5C1355B6">
      <w:pPr>
        <w:jc w:val="both"/>
        <w:rPr>
          <w:rFonts w:hint="default" w:ascii="宋体" w:hAnsi="宋体" w:eastAsia="宋体" w:cs="宋体"/>
          <w:color w:val="auto"/>
          <w:sz w:val="28"/>
          <w:szCs w:val="28"/>
          <w:lang w:val="en-US" w:eastAsia="zh-CN"/>
        </w:rPr>
      </w:pPr>
    </w:p>
    <w:p w14:paraId="6E9979DA">
      <w:pPr>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w:t>
      </w:r>
      <w:r>
        <w:rPr>
          <w:rFonts w:hint="eastAsia" w:ascii="宋体" w:hAnsi="宋体" w:cs="宋体"/>
          <w:color w:val="auto"/>
          <w:sz w:val="28"/>
          <w:szCs w:val="28"/>
          <w:lang w:val="en-US" w:eastAsia="zh-CN"/>
        </w:rPr>
        <w:t>11 友好区</w:t>
      </w:r>
      <w:r>
        <w:rPr>
          <w:rFonts w:hint="eastAsia" w:ascii="宋体" w:hAnsi="宋体" w:eastAsia="宋体" w:cs="宋体"/>
          <w:color w:val="auto"/>
          <w:sz w:val="28"/>
          <w:szCs w:val="28"/>
          <w:lang w:val="en-US" w:eastAsia="zh-CN"/>
        </w:rPr>
        <w:t>铁林街道养殖滩涂规划禁养区、限养区和养殖区规划图</w:t>
      </w:r>
    </w:p>
    <w:p w14:paraId="554A7CD8">
      <w:pPr>
        <w:jc w:val="both"/>
        <w:rPr>
          <w:rFonts w:hint="default" w:ascii="宋体" w:hAnsi="宋体" w:eastAsia="宋体" w:cs="宋体"/>
          <w:color w:val="auto"/>
          <w:sz w:val="28"/>
          <w:szCs w:val="28"/>
          <w:lang w:val="en-US" w:eastAsia="zh-CN"/>
        </w:rPr>
      </w:pPr>
    </w:p>
    <w:p w14:paraId="3DE49BFB">
      <w:pPr>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864860" cy="5864860"/>
            <wp:effectExtent l="0" t="0" r="2540" b="2540"/>
            <wp:docPr id="11" name="图片 11" descr="友好区养殖水域铁林街道养殖滩涂规划禁养区、限养区和养殖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友好区养殖水域铁林街道养殖滩涂规划禁养区、限养区和养殖区规划图"/>
                    <pic:cNvPicPr>
                      <a:picLocks noChangeAspect="1"/>
                    </pic:cNvPicPr>
                  </pic:nvPicPr>
                  <pic:blipFill>
                    <a:blip r:embed="rId26"/>
                    <a:stretch>
                      <a:fillRect/>
                    </a:stretch>
                  </pic:blipFill>
                  <pic:spPr>
                    <a:xfrm>
                      <a:off x="0" y="0"/>
                      <a:ext cx="5864860" cy="5864860"/>
                    </a:xfrm>
                    <a:prstGeom prst="rect">
                      <a:avLst/>
                    </a:prstGeom>
                  </pic:spPr>
                </pic:pic>
              </a:graphicData>
            </a:graphic>
          </wp:inline>
        </w:drawing>
      </w:r>
    </w:p>
    <w:p w14:paraId="17C1E08D">
      <w:pPr>
        <w:jc w:val="both"/>
        <w:rPr>
          <w:rFonts w:hint="default" w:ascii="宋体" w:hAnsi="宋体" w:eastAsia="宋体" w:cs="宋体"/>
          <w:color w:val="auto"/>
          <w:sz w:val="28"/>
          <w:szCs w:val="28"/>
          <w:lang w:val="en-US" w:eastAsia="zh-CN"/>
        </w:rPr>
      </w:pPr>
    </w:p>
    <w:p w14:paraId="5CF74FA5">
      <w:pPr>
        <w:jc w:val="both"/>
        <w:rPr>
          <w:rFonts w:hint="default" w:ascii="宋体" w:hAnsi="宋体" w:eastAsia="宋体" w:cs="宋体"/>
          <w:color w:val="auto"/>
          <w:sz w:val="28"/>
          <w:szCs w:val="28"/>
          <w:lang w:val="en-US" w:eastAsia="zh-CN"/>
        </w:rPr>
      </w:pPr>
    </w:p>
    <w:p w14:paraId="6C81BB81">
      <w:pPr>
        <w:jc w:val="both"/>
        <w:rPr>
          <w:rFonts w:hint="default" w:ascii="宋体" w:hAnsi="宋体" w:eastAsia="宋体" w:cs="宋体"/>
          <w:color w:val="auto"/>
          <w:sz w:val="28"/>
          <w:szCs w:val="28"/>
          <w:lang w:val="en-US" w:eastAsia="zh-CN"/>
        </w:rPr>
      </w:pPr>
    </w:p>
    <w:p w14:paraId="286A8ADA">
      <w:pPr>
        <w:jc w:val="both"/>
        <w:rPr>
          <w:rFonts w:hint="default" w:ascii="宋体" w:hAnsi="宋体" w:eastAsia="宋体" w:cs="宋体"/>
          <w:color w:val="auto"/>
          <w:sz w:val="28"/>
          <w:szCs w:val="28"/>
          <w:lang w:val="en-US" w:eastAsia="zh-CN"/>
        </w:rPr>
      </w:pPr>
    </w:p>
    <w:p w14:paraId="13613B73">
      <w:pPr>
        <w:jc w:val="both"/>
        <w:rPr>
          <w:rFonts w:hint="default" w:ascii="宋体" w:hAnsi="宋体" w:eastAsia="宋体" w:cs="宋体"/>
          <w:color w:val="auto"/>
          <w:sz w:val="28"/>
          <w:szCs w:val="28"/>
          <w:lang w:val="en-US" w:eastAsia="zh-CN"/>
        </w:rPr>
      </w:pPr>
    </w:p>
    <w:p w14:paraId="57541644">
      <w:pPr>
        <w:jc w:val="both"/>
        <w:rPr>
          <w:rFonts w:hint="default" w:ascii="宋体" w:hAnsi="宋体" w:eastAsia="宋体" w:cs="宋体"/>
          <w:color w:val="auto"/>
          <w:sz w:val="28"/>
          <w:szCs w:val="28"/>
          <w:lang w:val="en-US" w:eastAsia="zh-CN"/>
        </w:rPr>
      </w:pPr>
    </w:p>
    <w:p w14:paraId="3A4457FD">
      <w:pPr>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w:t>
      </w:r>
      <w:r>
        <w:rPr>
          <w:rFonts w:hint="eastAsia" w:ascii="宋体" w:hAnsi="宋体" w:cs="宋体"/>
          <w:color w:val="auto"/>
          <w:sz w:val="28"/>
          <w:szCs w:val="28"/>
          <w:lang w:val="en-US" w:eastAsia="zh-CN"/>
        </w:rPr>
        <w:t>12 友好区</w:t>
      </w:r>
      <w:r>
        <w:rPr>
          <w:rFonts w:hint="eastAsia" w:ascii="宋体" w:hAnsi="宋体" w:eastAsia="宋体" w:cs="宋体"/>
          <w:color w:val="auto"/>
          <w:sz w:val="28"/>
          <w:szCs w:val="28"/>
          <w:lang w:val="en-US" w:eastAsia="zh-CN"/>
        </w:rPr>
        <w:t>友好街道养殖滩涂规划禁养区、限养区和养殖区规划图</w:t>
      </w:r>
    </w:p>
    <w:p w14:paraId="53038E44">
      <w:pPr>
        <w:jc w:val="both"/>
        <w:rPr>
          <w:rFonts w:hint="default" w:ascii="宋体" w:hAnsi="宋体" w:eastAsia="宋体" w:cs="宋体"/>
          <w:color w:val="auto"/>
          <w:sz w:val="28"/>
          <w:szCs w:val="28"/>
          <w:lang w:val="en-US" w:eastAsia="zh-CN"/>
        </w:rPr>
      </w:pPr>
    </w:p>
    <w:p w14:paraId="35404299">
      <w:pPr>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864860" cy="5864860"/>
            <wp:effectExtent l="0" t="0" r="2540" b="2540"/>
            <wp:docPr id="15" name="图片 15" descr="友好区养殖水域友好街道养殖滩涂规划禁养区、限养区和养殖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友好区养殖水域友好街道养殖滩涂规划禁养区、限养区和养殖区规划图"/>
                    <pic:cNvPicPr>
                      <a:picLocks noChangeAspect="1"/>
                    </pic:cNvPicPr>
                  </pic:nvPicPr>
                  <pic:blipFill>
                    <a:blip r:embed="rId27"/>
                    <a:stretch>
                      <a:fillRect/>
                    </a:stretch>
                  </pic:blipFill>
                  <pic:spPr>
                    <a:xfrm>
                      <a:off x="0" y="0"/>
                      <a:ext cx="5864860" cy="5864860"/>
                    </a:xfrm>
                    <a:prstGeom prst="rect">
                      <a:avLst/>
                    </a:prstGeom>
                  </pic:spPr>
                </pic:pic>
              </a:graphicData>
            </a:graphic>
          </wp:inline>
        </w:drawing>
      </w:r>
    </w:p>
    <w:p w14:paraId="63A77B6B">
      <w:pPr>
        <w:jc w:val="both"/>
        <w:rPr>
          <w:rFonts w:hint="default" w:ascii="宋体" w:hAnsi="宋体" w:eastAsia="宋体" w:cs="宋体"/>
          <w:color w:val="auto"/>
          <w:sz w:val="28"/>
          <w:szCs w:val="28"/>
          <w:lang w:val="en-US" w:eastAsia="zh-CN"/>
        </w:rPr>
      </w:pPr>
    </w:p>
    <w:sectPr>
      <w:pgSz w:w="11907" w:h="16840"/>
      <w:pgMar w:top="1531" w:right="1247" w:bottom="1417" w:left="1417" w:header="851" w:footer="992" w:gutter="0"/>
      <w:pgBorders>
        <w:top w:val="none" w:sz="0" w:space="0"/>
        <w:left w:val="none" w:sz="0" w:space="0"/>
        <w:bottom w:val="none" w:sz="0" w:space="0"/>
        <w:right w:val="none" w:sz="0" w:space="0"/>
      </w:pgBorders>
      <w:pgNumType w:fmt="decimal"/>
      <w:cols w:space="720" w:num="1"/>
      <w:titlePg/>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20B0503020204020204"/>
    <w:charset w:val="86"/>
    <w:family w:val="auto"/>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浠垮畫">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AE0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3520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8C35201"/>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22AF6">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58DC4">
    <w:pPr>
      <w:pStyle w:val="14"/>
    </w:pPr>
    <w:r>
      <w:rPr>
        <w:sz w:val="18"/>
      </w:rPr>
      <mc:AlternateContent>
        <mc:Choice Requires="wps">
          <w:drawing>
            <wp:anchor distT="0" distB="0" distL="114300" distR="114300" simplePos="0" relativeHeight="251664384" behindDoc="0" locked="0" layoutInCell="1" allowOverlap="1">
              <wp:simplePos x="0" y="0"/>
              <wp:positionH relativeFrom="margin">
                <wp:posOffset>2873375</wp:posOffset>
              </wp:positionH>
              <wp:positionV relativeFrom="paragraph">
                <wp:posOffset>0</wp:posOffset>
              </wp:positionV>
              <wp:extent cx="135255" cy="16764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5255" cy="167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D46DB"/>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6.25pt;margin-top:0pt;height:13.2pt;width:10.65pt;mso-position-horizontal-relative:margin;z-index:251664384;mso-width-relative:page;mso-height-relative:page;" filled="f" stroked="f" coordsize="21600,21600" o:gfxdata="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wZ7Pq1gAAAAcBAAAPAAAAAAAAAAEAIAAAACIAAABkcnMvZG93bnJl&#10;di54bWxQSwECFAAUAAAACACHTuJAh9i9tzgCAABjBAAADgAAAAAAAAABACAAAAAlAQAAZHJzL2Uy&#10;b0RvYy54bWxQSwUGAAAAAAYABgBZAQAAzwUAAAAA&#10;">
              <v:fill on="f" focussize="0,0"/>
              <v:stroke on="f" weight="0.5pt"/>
              <v:imagedata o:title=""/>
              <o:lock v:ext="edit" aspectratio="f"/>
              <v:textbox inset="0mm,0mm,0mm,0mm">
                <w:txbxContent>
                  <w:p w14:paraId="0A2D46DB"/>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BA00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3DEBA008"/>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1C801">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B151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44B151E">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A87E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E5A87EA"/>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AA7B4">
    <w:pPr>
      <w:pStyle w:val="14"/>
    </w:pPr>
    <w:r>
      <w:rPr>
        <w:sz w:val="18"/>
      </w:rPr>
      <mc:AlternateContent>
        <mc:Choice Requires="wps">
          <w:drawing>
            <wp:anchor distT="0" distB="0" distL="114300" distR="114300" simplePos="0" relativeHeight="251662336" behindDoc="0" locked="0" layoutInCell="1" allowOverlap="1">
              <wp:simplePos x="0" y="0"/>
              <wp:positionH relativeFrom="margin">
                <wp:posOffset>2839720</wp:posOffset>
              </wp:positionH>
              <wp:positionV relativeFrom="paragraph">
                <wp:posOffset>19685</wp:posOffset>
              </wp:positionV>
              <wp:extent cx="163195" cy="16129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63195" cy="1612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528EF"/>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3.6pt;margin-top:1.55pt;height:12.7pt;width:12.85pt;mso-position-horizontal-relative:margin;z-index:251662336;mso-width-relative:page;mso-height-relative:page;" filled="f" stroked="f" coordsize="21600,21600" o:gfxdata="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YyVVNcAAAAIAQAADwAAAAAAAAABACAAAAAiAAAAZHJzL2Rvd25y&#10;ZXYueG1sUEsBAhQAFAAAAAgAh07iQN0JTe04AgAAYwQAAA4AAAAAAAAAAQAgAAAAJgEAAGRycy9l&#10;Mm9Eb2MueG1sUEsFBgAAAAAGAAYAWQEAANAFAAAAAA==&#10;">
              <v:fill on="f" focussize="0,0"/>
              <v:stroke on="f" weight="0.5pt"/>
              <v:imagedata o:title=""/>
              <o:lock v:ext="edit" aspectratio="f"/>
              <v:textbox inset="0mm,0mm,0mm,0mm">
                <w:txbxContent>
                  <w:p w14:paraId="60E528EF"/>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E5734">
    <w:pPr>
      <w:pStyle w:val="14"/>
    </w:pPr>
    <w:r>
      <w:rPr>
        <w:sz w:val="18"/>
      </w:rPr>
      <mc:AlternateContent>
        <mc:Choice Requires="wps">
          <w:drawing>
            <wp:anchor distT="0" distB="0" distL="114300" distR="114300" simplePos="0" relativeHeight="251663360" behindDoc="0" locked="0" layoutInCell="1" allowOverlap="1">
              <wp:simplePos x="0" y="0"/>
              <wp:positionH relativeFrom="margin">
                <wp:posOffset>2874010</wp:posOffset>
              </wp:positionH>
              <wp:positionV relativeFrom="paragraph">
                <wp:posOffset>0</wp:posOffset>
              </wp:positionV>
              <wp:extent cx="272415" cy="2286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7241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5604B"/>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6.3pt;margin-top:0pt;height:18pt;width:21.45pt;mso-position-horizontal-relative:margin;z-index:251663360;mso-width-relative:page;mso-height-relative:page;" filled="f" stroked="f" coordsize="21600,21600" o:gfxdata="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E33RT1wAAAAcBAAAPAAAAAAAAAAEAIAAAACIAAABkcnMvZG93bnJl&#10;di54bWxQSwECFAAUAAAACACHTuJA1KzN1jcCAABjBAAADgAAAAAAAAABACAAAAAmAQAAZHJzL2Uy&#10;b0RvYy54bWxQSwUGAAAAAAYABgBZAQAAzwUAAAAA&#10;">
              <v:fill on="f" focussize="0,0"/>
              <v:stroke on="f" weight="0.5pt"/>
              <v:imagedata o:title=""/>
              <o:lock v:ext="edit" aspectratio="f"/>
              <v:textbox inset="0mm,0mm,0mm,0mm">
                <w:txbxContent>
                  <w:p w14:paraId="0A05604B"/>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F076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49F076F"/>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5940">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BD73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6EBD73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F69BB">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245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511F245D">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939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206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702BB"/>
    <w:multiLevelType w:val="singleLevel"/>
    <w:tmpl w:val="8C4702BB"/>
    <w:lvl w:ilvl="0" w:tentative="0">
      <w:start w:val="1"/>
      <w:numFmt w:val="decimal"/>
      <w:suff w:val="space"/>
      <w:lvlText w:val="%1."/>
      <w:lvlJc w:val="left"/>
      <w:pPr>
        <w:ind w:left="0" w:firstLine="0"/>
      </w:pPr>
      <w:rPr>
        <w:rFonts w:hint="default"/>
      </w:rPr>
    </w:lvl>
  </w:abstractNum>
  <w:abstractNum w:abstractNumId="1">
    <w:nsid w:val="923FF9A3"/>
    <w:multiLevelType w:val="multilevel"/>
    <w:tmpl w:val="923FF9A3"/>
    <w:lvl w:ilvl="0" w:tentative="0">
      <w:start w:val="1"/>
      <w:numFmt w:val="decimal"/>
      <w:suff w:val="space"/>
      <w:lvlText w:val="1.1.%1"/>
      <w:lvlJc w:val="left"/>
      <w:pPr>
        <w:ind w:left="0" w:firstLine="0"/>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2">
    <w:nsid w:val="99D00E3E"/>
    <w:multiLevelType w:val="singleLevel"/>
    <w:tmpl w:val="99D00E3E"/>
    <w:lvl w:ilvl="0" w:tentative="0">
      <w:start w:val="1"/>
      <w:numFmt w:val="decimal"/>
      <w:suff w:val="space"/>
      <w:lvlText w:val="2.1.%1"/>
      <w:lvlJc w:val="left"/>
      <w:pPr>
        <w:ind w:left="0" w:firstLine="0"/>
      </w:pPr>
      <w:rPr>
        <w:rFonts w:hint="default"/>
      </w:rPr>
    </w:lvl>
  </w:abstractNum>
  <w:abstractNum w:abstractNumId="3">
    <w:nsid w:val="B3332331"/>
    <w:multiLevelType w:val="singleLevel"/>
    <w:tmpl w:val="B3332331"/>
    <w:lvl w:ilvl="0" w:tentative="0">
      <w:start w:val="1"/>
      <w:numFmt w:val="decimal"/>
      <w:suff w:val="space"/>
      <w:lvlText w:val="%1."/>
      <w:lvlJc w:val="left"/>
      <w:pPr>
        <w:ind w:left="0" w:firstLine="480"/>
      </w:pPr>
      <w:rPr>
        <w:rFonts w:hint="default"/>
      </w:rPr>
    </w:lvl>
  </w:abstractNum>
  <w:abstractNum w:abstractNumId="4">
    <w:nsid w:val="B6CB4972"/>
    <w:multiLevelType w:val="singleLevel"/>
    <w:tmpl w:val="B6CB4972"/>
    <w:lvl w:ilvl="0" w:tentative="0">
      <w:start w:val="1"/>
      <w:numFmt w:val="decimal"/>
      <w:suff w:val="space"/>
      <w:lvlText w:val="2.2.2.%1"/>
      <w:lvlJc w:val="left"/>
      <w:pPr>
        <w:ind w:left="0" w:firstLine="0"/>
      </w:pPr>
      <w:rPr>
        <w:rFonts w:hint="default"/>
      </w:rPr>
    </w:lvl>
  </w:abstractNum>
  <w:abstractNum w:abstractNumId="5">
    <w:nsid w:val="B75A075C"/>
    <w:multiLevelType w:val="singleLevel"/>
    <w:tmpl w:val="B75A075C"/>
    <w:lvl w:ilvl="0" w:tentative="0">
      <w:start w:val="1"/>
      <w:numFmt w:val="decimal"/>
      <w:suff w:val="space"/>
      <w:lvlText w:val="%1."/>
      <w:lvlJc w:val="left"/>
      <w:pPr>
        <w:ind w:left="0" w:firstLine="480"/>
      </w:pPr>
      <w:rPr>
        <w:rFonts w:hint="default"/>
      </w:rPr>
    </w:lvl>
  </w:abstractNum>
  <w:abstractNum w:abstractNumId="6">
    <w:nsid w:val="BE25BBD4"/>
    <w:multiLevelType w:val="singleLevel"/>
    <w:tmpl w:val="BE25BBD4"/>
    <w:lvl w:ilvl="0" w:tentative="0">
      <w:start w:val="1"/>
      <w:numFmt w:val="decimal"/>
      <w:suff w:val="space"/>
      <w:lvlText w:val="%1."/>
      <w:lvlJc w:val="left"/>
      <w:pPr>
        <w:ind w:left="0" w:firstLine="0"/>
      </w:pPr>
      <w:rPr>
        <w:rFonts w:hint="default"/>
      </w:rPr>
    </w:lvl>
  </w:abstractNum>
  <w:abstractNum w:abstractNumId="7">
    <w:nsid w:val="C1D87C98"/>
    <w:multiLevelType w:val="singleLevel"/>
    <w:tmpl w:val="C1D87C98"/>
    <w:lvl w:ilvl="0" w:tentative="0">
      <w:start w:val="1"/>
      <w:numFmt w:val="decimal"/>
      <w:suff w:val="space"/>
      <w:lvlText w:val="%1."/>
      <w:lvlJc w:val="left"/>
      <w:pPr>
        <w:ind w:left="0" w:firstLine="480"/>
      </w:pPr>
      <w:rPr>
        <w:rFonts w:hint="default"/>
      </w:rPr>
    </w:lvl>
  </w:abstractNum>
  <w:abstractNum w:abstractNumId="8">
    <w:nsid w:val="D5F71612"/>
    <w:multiLevelType w:val="singleLevel"/>
    <w:tmpl w:val="D5F71612"/>
    <w:lvl w:ilvl="0" w:tentative="0">
      <w:start w:val="1"/>
      <w:numFmt w:val="decimal"/>
      <w:suff w:val="space"/>
      <w:lvlText w:val="2.2.%1"/>
      <w:lvlJc w:val="left"/>
      <w:pPr>
        <w:ind w:left="0" w:firstLine="0"/>
      </w:pPr>
      <w:rPr>
        <w:rFonts w:hint="default"/>
      </w:rPr>
    </w:lvl>
  </w:abstractNum>
  <w:abstractNum w:abstractNumId="9">
    <w:nsid w:val="D8E92891"/>
    <w:multiLevelType w:val="singleLevel"/>
    <w:tmpl w:val="D8E92891"/>
    <w:lvl w:ilvl="0" w:tentative="0">
      <w:start w:val="1"/>
      <w:numFmt w:val="decimal"/>
      <w:suff w:val="space"/>
      <w:lvlText w:val="2.1.3.%1"/>
      <w:lvlJc w:val="left"/>
      <w:pPr>
        <w:ind w:left="0" w:firstLine="0"/>
      </w:pPr>
      <w:rPr>
        <w:rFonts w:hint="default"/>
      </w:rPr>
    </w:lvl>
  </w:abstractNum>
  <w:abstractNum w:abstractNumId="10">
    <w:nsid w:val="DAA3F3BD"/>
    <w:multiLevelType w:val="singleLevel"/>
    <w:tmpl w:val="DAA3F3BD"/>
    <w:lvl w:ilvl="0" w:tentative="0">
      <w:start w:val="1"/>
      <w:numFmt w:val="decimal"/>
      <w:suff w:val="space"/>
      <w:lvlText w:val="%1."/>
      <w:lvlJc w:val="left"/>
      <w:pPr>
        <w:ind w:left="0" w:firstLine="480"/>
      </w:pPr>
      <w:rPr>
        <w:rFonts w:hint="default"/>
      </w:rPr>
    </w:lvl>
  </w:abstractNum>
  <w:abstractNum w:abstractNumId="11">
    <w:nsid w:val="EA022CC2"/>
    <w:multiLevelType w:val="singleLevel"/>
    <w:tmpl w:val="EA022CC2"/>
    <w:lvl w:ilvl="0" w:tentative="0">
      <w:start w:val="1"/>
      <w:numFmt w:val="decimal"/>
      <w:suff w:val="space"/>
      <w:lvlText w:val="2.1.2.%1"/>
      <w:lvlJc w:val="left"/>
      <w:pPr>
        <w:ind w:left="0" w:firstLine="0"/>
      </w:pPr>
      <w:rPr>
        <w:rFonts w:hint="default"/>
      </w:rPr>
    </w:lvl>
  </w:abstractNum>
  <w:abstractNum w:abstractNumId="12">
    <w:nsid w:val="EA8ADEAE"/>
    <w:multiLevelType w:val="singleLevel"/>
    <w:tmpl w:val="EA8ADEAE"/>
    <w:lvl w:ilvl="0" w:tentative="0">
      <w:start w:val="1"/>
      <w:numFmt w:val="decimal"/>
      <w:suff w:val="nothing"/>
      <w:lvlText w:val="（%1）"/>
      <w:lvlJc w:val="left"/>
      <w:pPr>
        <w:ind w:left="0" w:firstLine="0"/>
      </w:pPr>
      <w:rPr>
        <w:rFonts w:hint="default"/>
      </w:rPr>
    </w:lvl>
  </w:abstractNum>
  <w:abstractNum w:abstractNumId="13">
    <w:nsid w:val="F3741E0C"/>
    <w:multiLevelType w:val="singleLevel"/>
    <w:tmpl w:val="F3741E0C"/>
    <w:lvl w:ilvl="0" w:tentative="0">
      <w:start w:val="1"/>
      <w:numFmt w:val="decimal"/>
      <w:suff w:val="space"/>
      <w:lvlText w:val="1.2.%1"/>
      <w:lvlJc w:val="left"/>
      <w:pPr>
        <w:ind w:left="0" w:firstLine="0"/>
      </w:pPr>
      <w:rPr>
        <w:rFonts w:hint="default"/>
      </w:rPr>
    </w:lvl>
  </w:abstractNum>
  <w:abstractNum w:abstractNumId="14">
    <w:nsid w:val="FDEF0B15"/>
    <w:multiLevelType w:val="singleLevel"/>
    <w:tmpl w:val="FDEF0B15"/>
    <w:lvl w:ilvl="0" w:tentative="0">
      <w:start w:val="1"/>
      <w:numFmt w:val="decimal"/>
      <w:suff w:val="space"/>
      <w:lvlText w:val="1.%1"/>
      <w:lvlJc w:val="left"/>
      <w:pPr>
        <w:ind w:left="0" w:firstLine="0"/>
      </w:pPr>
      <w:rPr>
        <w:rFonts w:hint="default"/>
      </w:rPr>
    </w:lvl>
  </w:abstractNum>
  <w:abstractNum w:abstractNumId="15">
    <w:nsid w:val="022D8471"/>
    <w:multiLevelType w:val="singleLevel"/>
    <w:tmpl w:val="022D8471"/>
    <w:lvl w:ilvl="0" w:tentative="0">
      <w:start w:val="1"/>
      <w:numFmt w:val="decimal"/>
      <w:suff w:val="space"/>
      <w:lvlText w:val="%1."/>
      <w:lvlJc w:val="left"/>
      <w:pPr>
        <w:ind w:left="0" w:firstLine="0"/>
      </w:pPr>
      <w:rPr>
        <w:rFonts w:hint="default"/>
      </w:rPr>
    </w:lvl>
  </w:abstractNum>
  <w:abstractNum w:abstractNumId="16">
    <w:nsid w:val="0A8B5C40"/>
    <w:multiLevelType w:val="singleLevel"/>
    <w:tmpl w:val="0A8B5C40"/>
    <w:lvl w:ilvl="0" w:tentative="0">
      <w:start w:val="1"/>
      <w:numFmt w:val="decimal"/>
      <w:suff w:val="nothing"/>
      <w:lvlText w:val="（%1）"/>
      <w:lvlJc w:val="left"/>
    </w:lvl>
  </w:abstractNum>
  <w:abstractNum w:abstractNumId="17">
    <w:nsid w:val="0F56AA4D"/>
    <w:multiLevelType w:val="singleLevel"/>
    <w:tmpl w:val="0F56AA4D"/>
    <w:lvl w:ilvl="0" w:tentative="0">
      <w:start w:val="1"/>
      <w:numFmt w:val="decimal"/>
      <w:suff w:val="space"/>
      <w:lvlText w:val="3.%1"/>
      <w:lvlJc w:val="left"/>
      <w:pPr>
        <w:ind w:left="0" w:firstLine="0"/>
      </w:pPr>
      <w:rPr>
        <w:rFonts w:hint="default"/>
      </w:rPr>
    </w:lvl>
  </w:abstractNum>
  <w:abstractNum w:abstractNumId="18">
    <w:nsid w:val="1661EA4D"/>
    <w:multiLevelType w:val="singleLevel"/>
    <w:tmpl w:val="1661EA4D"/>
    <w:lvl w:ilvl="0" w:tentative="0">
      <w:start w:val="1"/>
      <w:numFmt w:val="chineseCounting"/>
      <w:suff w:val="space"/>
      <w:lvlText w:val="第%1章"/>
      <w:lvlJc w:val="left"/>
      <w:pPr>
        <w:ind w:left="0" w:firstLine="0"/>
      </w:pPr>
      <w:rPr>
        <w:rFonts w:hint="eastAsia"/>
      </w:rPr>
    </w:lvl>
  </w:abstractNum>
  <w:abstractNum w:abstractNumId="19">
    <w:nsid w:val="1995CE6F"/>
    <w:multiLevelType w:val="singleLevel"/>
    <w:tmpl w:val="1995CE6F"/>
    <w:lvl w:ilvl="0" w:tentative="0">
      <w:start w:val="1"/>
      <w:numFmt w:val="decimal"/>
      <w:suff w:val="space"/>
      <w:lvlText w:val="%1."/>
      <w:lvlJc w:val="left"/>
      <w:pPr>
        <w:ind w:left="0" w:firstLine="0"/>
      </w:pPr>
      <w:rPr>
        <w:rFonts w:hint="default"/>
      </w:rPr>
    </w:lvl>
  </w:abstractNum>
  <w:abstractNum w:abstractNumId="20">
    <w:nsid w:val="27D990B2"/>
    <w:multiLevelType w:val="singleLevel"/>
    <w:tmpl w:val="27D990B2"/>
    <w:lvl w:ilvl="0" w:tentative="0">
      <w:start w:val="1"/>
      <w:numFmt w:val="decimal"/>
      <w:suff w:val="space"/>
      <w:lvlText w:val="3.1.%1"/>
      <w:lvlJc w:val="left"/>
      <w:pPr>
        <w:ind w:left="0" w:firstLine="0"/>
      </w:pPr>
      <w:rPr>
        <w:rFonts w:hint="default" w:ascii="Times New Roman" w:hAnsi="Times New Roman" w:cs="Times New Roman"/>
      </w:rPr>
    </w:lvl>
  </w:abstractNum>
  <w:abstractNum w:abstractNumId="21">
    <w:nsid w:val="31C89C35"/>
    <w:multiLevelType w:val="singleLevel"/>
    <w:tmpl w:val="31C89C35"/>
    <w:lvl w:ilvl="0" w:tentative="0">
      <w:start w:val="1"/>
      <w:numFmt w:val="decimal"/>
      <w:suff w:val="nothing"/>
      <w:lvlText w:val="%1、"/>
      <w:lvlJc w:val="left"/>
      <w:pPr>
        <w:ind w:left="0" w:firstLine="0"/>
      </w:pPr>
      <w:rPr>
        <w:rFonts w:hint="default"/>
      </w:rPr>
    </w:lvl>
  </w:abstractNum>
  <w:abstractNum w:abstractNumId="22">
    <w:nsid w:val="35613478"/>
    <w:multiLevelType w:val="singleLevel"/>
    <w:tmpl w:val="35613478"/>
    <w:lvl w:ilvl="0" w:tentative="0">
      <w:start w:val="1"/>
      <w:numFmt w:val="decimal"/>
      <w:suff w:val="space"/>
      <w:lvlText w:val="%1."/>
      <w:lvlJc w:val="left"/>
      <w:pPr>
        <w:ind w:left="0" w:firstLine="0"/>
      </w:pPr>
      <w:rPr>
        <w:rFonts w:hint="default"/>
      </w:rPr>
    </w:lvl>
  </w:abstractNum>
  <w:abstractNum w:abstractNumId="23">
    <w:nsid w:val="479EA3F7"/>
    <w:multiLevelType w:val="singleLevel"/>
    <w:tmpl w:val="479EA3F7"/>
    <w:lvl w:ilvl="0" w:tentative="0">
      <w:start w:val="1"/>
      <w:numFmt w:val="decimal"/>
      <w:suff w:val="space"/>
      <w:lvlText w:val="1.3.%1"/>
      <w:lvlJc w:val="left"/>
      <w:pPr>
        <w:ind w:left="0" w:firstLine="0"/>
      </w:pPr>
      <w:rPr>
        <w:rFonts w:hint="default"/>
      </w:rPr>
    </w:lvl>
  </w:abstractNum>
  <w:abstractNum w:abstractNumId="24">
    <w:nsid w:val="4A674372"/>
    <w:multiLevelType w:val="singleLevel"/>
    <w:tmpl w:val="4A674372"/>
    <w:lvl w:ilvl="0" w:tentative="0">
      <w:start w:val="1"/>
      <w:numFmt w:val="decimal"/>
      <w:suff w:val="space"/>
      <w:lvlText w:val="%1."/>
      <w:lvlJc w:val="left"/>
      <w:pPr>
        <w:ind w:left="0" w:firstLine="480"/>
      </w:pPr>
      <w:rPr>
        <w:rFonts w:hint="default"/>
      </w:rPr>
    </w:lvl>
  </w:abstractNum>
  <w:abstractNum w:abstractNumId="25">
    <w:nsid w:val="51EC6B1D"/>
    <w:multiLevelType w:val="singleLevel"/>
    <w:tmpl w:val="51EC6B1D"/>
    <w:lvl w:ilvl="0" w:tentative="0">
      <w:start w:val="1"/>
      <w:numFmt w:val="decimal"/>
      <w:suff w:val="space"/>
      <w:lvlText w:val="2.%1"/>
      <w:lvlJc w:val="left"/>
      <w:pPr>
        <w:ind w:left="0" w:firstLine="0"/>
      </w:pPr>
      <w:rPr>
        <w:rFonts w:hint="default"/>
      </w:rPr>
    </w:lvl>
  </w:abstractNum>
  <w:abstractNum w:abstractNumId="26">
    <w:nsid w:val="54092B0F"/>
    <w:multiLevelType w:val="singleLevel"/>
    <w:tmpl w:val="54092B0F"/>
    <w:lvl w:ilvl="0" w:tentative="0">
      <w:start w:val="1"/>
      <w:numFmt w:val="decimal"/>
      <w:suff w:val="space"/>
      <w:lvlText w:val="%1."/>
      <w:lvlJc w:val="left"/>
      <w:pPr>
        <w:ind w:left="0" w:firstLine="480"/>
      </w:pPr>
      <w:rPr>
        <w:rFonts w:hint="default"/>
      </w:rPr>
    </w:lvl>
  </w:abstractNum>
  <w:abstractNum w:abstractNumId="27">
    <w:nsid w:val="642F5DEE"/>
    <w:multiLevelType w:val="singleLevel"/>
    <w:tmpl w:val="642F5DEE"/>
    <w:lvl w:ilvl="0" w:tentative="0">
      <w:start w:val="1"/>
      <w:numFmt w:val="decimal"/>
      <w:suff w:val="space"/>
      <w:lvlText w:val="%1."/>
      <w:lvlJc w:val="left"/>
      <w:pPr>
        <w:ind w:left="0" w:firstLine="480"/>
      </w:pPr>
      <w:rPr>
        <w:rFonts w:hint="default"/>
      </w:rPr>
    </w:lvl>
  </w:abstractNum>
  <w:abstractNum w:abstractNumId="28">
    <w:nsid w:val="72F59E9A"/>
    <w:multiLevelType w:val="singleLevel"/>
    <w:tmpl w:val="72F59E9A"/>
    <w:lvl w:ilvl="0" w:tentative="0">
      <w:start w:val="1"/>
      <w:numFmt w:val="decimal"/>
      <w:suff w:val="space"/>
      <w:lvlText w:val="%1."/>
      <w:lvlJc w:val="left"/>
      <w:pPr>
        <w:ind w:left="0" w:firstLine="480"/>
      </w:pPr>
      <w:rPr>
        <w:rFonts w:hint="default"/>
      </w:rPr>
    </w:lvl>
  </w:abstractNum>
  <w:abstractNum w:abstractNumId="29">
    <w:nsid w:val="7F6A2B6A"/>
    <w:multiLevelType w:val="singleLevel"/>
    <w:tmpl w:val="7F6A2B6A"/>
    <w:lvl w:ilvl="0" w:tentative="0">
      <w:start w:val="1"/>
      <w:numFmt w:val="decimal"/>
      <w:suff w:val="space"/>
      <w:lvlText w:val="2.1.1.%1"/>
      <w:lvlJc w:val="left"/>
      <w:pPr>
        <w:ind w:left="0" w:firstLine="0"/>
      </w:pPr>
      <w:rPr>
        <w:rFonts w:hint="default"/>
      </w:rPr>
    </w:lvl>
  </w:abstractNum>
  <w:num w:numId="1">
    <w:abstractNumId w:val="18"/>
  </w:num>
  <w:num w:numId="2">
    <w:abstractNumId w:val="14"/>
  </w:num>
  <w:num w:numId="3">
    <w:abstractNumId w:val="1"/>
  </w:num>
  <w:num w:numId="4">
    <w:abstractNumId w:val="19"/>
  </w:num>
  <w:num w:numId="5">
    <w:abstractNumId w:val="13"/>
  </w:num>
  <w:num w:numId="6">
    <w:abstractNumId w:val="10"/>
  </w:num>
  <w:num w:numId="7">
    <w:abstractNumId w:val="7"/>
  </w:num>
  <w:num w:numId="8">
    <w:abstractNumId w:val="24"/>
  </w:num>
  <w:num w:numId="9">
    <w:abstractNumId w:val="26"/>
  </w:num>
  <w:num w:numId="10">
    <w:abstractNumId w:val="27"/>
  </w:num>
  <w:num w:numId="11">
    <w:abstractNumId w:val="28"/>
  </w:num>
  <w:num w:numId="12">
    <w:abstractNumId w:val="23"/>
  </w:num>
  <w:num w:numId="13">
    <w:abstractNumId w:val="22"/>
  </w:num>
  <w:num w:numId="14">
    <w:abstractNumId w:val="6"/>
  </w:num>
  <w:num w:numId="15">
    <w:abstractNumId w:val="25"/>
  </w:num>
  <w:num w:numId="16">
    <w:abstractNumId w:val="2"/>
  </w:num>
  <w:num w:numId="17">
    <w:abstractNumId w:val="29"/>
  </w:num>
  <w:num w:numId="18">
    <w:abstractNumId w:val="0"/>
  </w:num>
  <w:num w:numId="19">
    <w:abstractNumId w:val="11"/>
  </w:num>
  <w:num w:numId="20">
    <w:abstractNumId w:val="9"/>
  </w:num>
  <w:num w:numId="21">
    <w:abstractNumId w:val="16"/>
  </w:num>
  <w:num w:numId="22">
    <w:abstractNumId w:val="8"/>
  </w:num>
  <w:num w:numId="23">
    <w:abstractNumId w:val="15"/>
  </w:num>
  <w:num w:numId="24">
    <w:abstractNumId w:val="4"/>
  </w:num>
  <w:num w:numId="25">
    <w:abstractNumId w:val="17"/>
  </w:num>
  <w:num w:numId="26">
    <w:abstractNumId w:val="20"/>
  </w:num>
  <w:num w:numId="27">
    <w:abstractNumId w:val="3"/>
  </w:num>
  <w:num w:numId="28">
    <w:abstractNumId w:val="5"/>
  </w:num>
  <w:num w:numId="29">
    <w:abstractNumId w:val="1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70FF"/>
    <w:rsid w:val="00212409"/>
    <w:rsid w:val="004C0119"/>
    <w:rsid w:val="0083050D"/>
    <w:rsid w:val="00D872BF"/>
    <w:rsid w:val="00F237C1"/>
    <w:rsid w:val="00FC34B1"/>
    <w:rsid w:val="015D4255"/>
    <w:rsid w:val="017F1B1C"/>
    <w:rsid w:val="018F436E"/>
    <w:rsid w:val="02095D1F"/>
    <w:rsid w:val="021F5E5A"/>
    <w:rsid w:val="02440442"/>
    <w:rsid w:val="024B7594"/>
    <w:rsid w:val="02637FD0"/>
    <w:rsid w:val="02A078FD"/>
    <w:rsid w:val="02AC67F0"/>
    <w:rsid w:val="02AE2ED7"/>
    <w:rsid w:val="02CC5155"/>
    <w:rsid w:val="02CD1F13"/>
    <w:rsid w:val="03064ADB"/>
    <w:rsid w:val="0315121A"/>
    <w:rsid w:val="03336550"/>
    <w:rsid w:val="03337704"/>
    <w:rsid w:val="0337738D"/>
    <w:rsid w:val="03384E36"/>
    <w:rsid w:val="0341028B"/>
    <w:rsid w:val="037B371D"/>
    <w:rsid w:val="03912F41"/>
    <w:rsid w:val="03F90AE6"/>
    <w:rsid w:val="04000356"/>
    <w:rsid w:val="045F4DED"/>
    <w:rsid w:val="0466198A"/>
    <w:rsid w:val="046D1D9C"/>
    <w:rsid w:val="047A4462"/>
    <w:rsid w:val="04BB7326"/>
    <w:rsid w:val="04F84FA3"/>
    <w:rsid w:val="04FB592F"/>
    <w:rsid w:val="05525311"/>
    <w:rsid w:val="055B7809"/>
    <w:rsid w:val="056A57F8"/>
    <w:rsid w:val="05726749"/>
    <w:rsid w:val="05BD6F8F"/>
    <w:rsid w:val="05EC617D"/>
    <w:rsid w:val="05F32EAD"/>
    <w:rsid w:val="06023489"/>
    <w:rsid w:val="061551B2"/>
    <w:rsid w:val="06257970"/>
    <w:rsid w:val="06653AE6"/>
    <w:rsid w:val="066E5FFA"/>
    <w:rsid w:val="069331E2"/>
    <w:rsid w:val="069449CD"/>
    <w:rsid w:val="06EE0437"/>
    <w:rsid w:val="06F650C7"/>
    <w:rsid w:val="070677A0"/>
    <w:rsid w:val="07567AD4"/>
    <w:rsid w:val="07B733DE"/>
    <w:rsid w:val="07CC0951"/>
    <w:rsid w:val="07DD39E2"/>
    <w:rsid w:val="082500FC"/>
    <w:rsid w:val="085208A2"/>
    <w:rsid w:val="086504F8"/>
    <w:rsid w:val="08C2767D"/>
    <w:rsid w:val="090E6A2D"/>
    <w:rsid w:val="091B2A9A"/>
    <w:rsid w:val="093F0E8D"/>
    <w:rsid w:val="09552024"/>
    <w:rsid w:val="097D1872"/>
    <w:rsid w:val="098F079E"/>
    <w:rsid w:val="099A2D57"/>
    <w:rsid w:val="09D000DA"/>
    <w:rsid w:val="0A0106F5"/>
    <w:rsid w:val="0A286F05"/>
    <w:rsid w:val="0A3770BA"/>
    <w:rsid w:val="0A3B6154"/>
    <w:rsid w:val="0A570314"/>
    <w:rsid w:val="0A5847B8"/>
    <w:rsid w:val="0AA135BC"/>
    <w:rsid w:val="0AA74DF8"/>
    <w:rsid w:val="0B063B42"/>
    <w:rsid w:val="0B2D651B"/>
    <w:rsid w:val="0B521A65"/>
    <w:rsid w:val="0B867103"/>
    <w:rsid w:val="0BA8707A"/>
    <w:rsid w:val="0BAD6185"/>
    <w:rsid w:val="0BFB189F"/>
    <w:rsid w:val="0C0A3890"/>
    <w:rsid w:val="0C300662"/>
    <w:rsid w:val="0C4C2A9B"/>
    <w:rsid w:val="0C6956AF"/>
    <w:rsid w:val="0C6A568B"/>
    <w:rsid w:val="0C6D1992"/>
    <w:rsid w:val="0CD73B3C"/>
    <w:rsid w:val="0D757FD7"/>
    <w:rsid w:val="0D7D076B"/>
    <w:rsid w:val="0E153711"/>
    <w:rsid w:val="0E3D79D4"/>
    <w:rsid w:val="0E5B2F4B"/>
    <w:rsid w:val="0E5B6625"/>
    <w:rsid w:val="0EA56FAA"/>
    <w:rsid w:val="0EA94DAE"/>
    <w:rsid w:val="0EB67D3E"/>
    <w:rsid w:val="0EC1589A"/>
    <w:rsid w:val="0EC341CA"/>
    <w:rsid w:val="0EDF677B"/>
    <w:rsid w:val="0EEE649D"/>
    <w:rsid w:val="0F1F3E3B"/>
    <w:rsid w:val="0F261446"/>
    <w:rsid w:val="0F3D73C4"/>
    <w:rsid w:val="0F474DFC"/>
    <w:rsid w:val="0F677B54"/>
    <w:rsid w:val="0FB75ADD"/>
    <w:rsid w:val="0FD1269D"/>
    <w:rsid w:val="0FD90C49"/>
    <w:rsid w:val="100B407B"/>
    <w:rsid w:val="103B6264"/>
    <w:rsid w:val="103F3D25"/>
    <w:rsid w:val="105C6E58"/>
    <w:rsid w:val="106C00E0"/>
    <w:rsid w:val="106D2CA7"/>
    <w:rsid w:val="10807F49"/>
    <w:rsid w:val="10837546"/>
    <w:rsid w:val="108D683E"/>
    <w:rsid w:val="10B1551C"/>
    <w:rsid w:val="10C73550"/>
    <w:rsid w:val="10D557E2"/>
    <w:rsid w:val="10EE6043"/>
    <w:rsid w:val="112349CC"/>
    <w:rsid w:val="1170203B"/>
    <w:rsid w:val="117C13C5"/>
    <w:rsid w:val="11A77DD3"/>
    <w:rsid w:val="11C11BE8"/>
    <w:rsid w:val="11F75825"/>
    <w:rsid w:val="122907E8"/>
    <w:rsid w:val="123A29AD"/>
    <w:rsid w:val="12673EBC"/>
    <w:rsid w:val="128C419D"/>
    <w:rsid w:val="12C863EF"/>
    <w:rsid w:val="12DB3A27"/>
    <w:rsid w:val="130F5C30"/>
    <w:rsid w:val="13383D71"/>
    <w:rsid w:val="13425257"/>
    <w:rsid w:val="13472A05"/>
    <w:rsid w:val="13682F71"/>
    <w:rsid w:val="136C7674"/>
    <w:rsid w:val="13760ED1"/>
    <w:rsid w:val="141D612B"/>
    <w:rsid w:val="14277801"/>
    <w:rsid w:val="143F42F3"/>
    <w:rsid w:val="14CF1B1B"/>
    <w:rsid w:val="14FC1AA7"/>
    <w:rsid w:val="1544627C"/>
    <w:rsid w:val="155F468B"/>
    <w:rsid w:val="15673775"/>
    <w:rsid w:val="1595384B"/>
    <w:rsid w:val="160F7827"/>
    <w:rsid w:val="16441E1F"/>
    <w:rsid w:val="16772F40"/>
    <w:rsid w:val="16907AC1"/>
    <w:rsid w:val="169F5341"/>
    <w:rsid w:val="16BA5F72"/>
    <w:rsid w:val="16BF4342"/>
    <w:rsid w:val="16E38823"/>
    <w:rsid w:val="16F2389F"/>
    <w:rsid w:val="170715A7"/>
    <w:rsid w:val="173B0501"/>
    <w:rsid w:val="1776627E"/>
    <w:rsid w:val="178C27BE"/>
    <w:rsid w:val="178E51F7"/>
    <w:rsid w:val="17B5219E"/>
    <w:rsid w:val="17D809D7"/>
    <w:rsid w:val="17DB08EB"/>
    <w:rsid w:val="17F05603"/>
    <w:rsid w:val="18055854"/>
    <w:rsid w:val="180D2A81"/>
    <w:rsid w:val="18117D55"/>
    <w:rsid w:val="18495740"/>
    <w:rsid w:val="186A43A3"/>
    <w:rsid w:val="18AE1A47"/>
    <w:rsid w:val="18B002DF"/>
    <w:rsid w:val="18BC0B6D"/>
    <w:rsid w:val="18D959E3"/>
    <w:rsid w:val="190345C9"/>
    <w:rsid w:val="193D4DB6"/>
    <w:rsid w:val="195449F2"/>
    <w:rsid w:val="19554552"/>
    <w:rsid w:val="197D78F9"/>
    <w:rsid w:val="198A4263"/>
    <w:rsid w:val="19A83945"/>
    <w:rsid w:val="19AF7825"/>
    <w:rsid w:val="19B20C95"/>
    <w:rsid w:val="19B37E42"/>
    <w:rsid w:val="19F96E8E"/>
    <w:rsid w:val="1A246465"/>
    <w:rsid w:val="1A495ECC"/>
    <w:rsid w:val="1A84273E"/>
    <w:rsid w:val="1A956E43"/>
    <w:rsid w:val="1AED589C"/>
    <w:rsid w:val="1AF916A0"/>
    <w:rsid w:val="1B140A04"/>
    <w:rsid w:val="1B1536D3"/>
    <w:rsid w:val="1B326960"/>
    <w:rsid w:val="1B577360"/>
    <w:rsid w:val="1B827EC0"/>
    <w:rsid w:val="1B862C11"/>
    <w:rsid w:val="1C587F13"/>
    <w:rsid w:val="1C5F61DD"/>
    <w:rsid w:val="1CB67629"/>
    <w:rsid w:val="1CDF7AD6"/>
    <w:rsid w:val="1D017037"/>
    <w:rsid w:val="1D37025D"/>
    <w:rsid w:val="1D4446C5"/>
    <w:rsid w:val="1D4A4435"/>
    <w:rsid w:val="1D8722FA"/>
    <w:rsid w:val="1D994B2C"/>
    <w:rsid w:val="1E2A7DC2"/>
    <w:rsid w:val="1E957929"/>
    <w:rsid w:val="1EA12B68"/>
    <w:rsid w:val="1EB31B66"/>
    <w:rsid w:val="1ECC0578"/>
    <w:rsid w:val="1EDD4E34"/>
    <w:rsid w:val="1EEC5078"/>
    <w:rsid w:val="1F8654CC"/>
    <w:rsid w:val="1FA15F46"/>
    <w:rsid w:val="1FBB68C3"/>
    <w:rsid w:val="20020FF7"/>
    <w:rsid w:val="201D512F"/>
    <w:rsid w:val="2024121A"/>
    <w:rsid w:val="203767C6"/>
    <w:rsid w:val="20580C17"/>
    <w:rsid w:val="208756D2"/>
    <w:rsid w:val="208C266E"/>
    <w:rsid w:val="209B2BFC"/>
    <w:rsid w:val="20C122F3"/>
    <w:rsid w:val="210C2AEE"/>
    <w:rsid w:val="21234E05"/>
    <w:rsid w:val="21414D39"/>
    <w:rsid w:val="22600256"/>
    <w:rsid w:val="226F1B0F"/>
    <w:rsid w:val="22857909"/>
    <w:rsid w:val="22E700F9"/>
    <w:rsid w:val="23044B6F"/>
    <w:rsid w:val="23143223"/>
    <w:rsid w:val="23877089"/>
    <w:rsid w:val="23B35025"/>
    <w:rsid w:val="24160515"/>
    <w:rsid w:val="24576862"/>
    <w:rsid w:val="246B7910"/>
    <w:rsid w:val="24A2770B"/>
    <w:rsid w:val="24AE7083"/>
    <w:rsid w:val="24BF6B78"/>
    <w:rsid w:val="25135B0D"/>
    <w:rsid w:val="25145328"/>
    <w:rsid w:val="25A9509E"/>
    <w:rsid w:val="25AB17E9"/>
    <w:rsid w:val="25B14925"/>
    <w:rsid w:val="25B5574C"/>
    <w:rsid w:val="25D80CE6"/>
    <w:rsid w:val="262140CD"/>
    <w:rsid w:val="266D6A9E"/>
    <w:rsid w:val="26937F25"/>
    <w:rsid w:val="26A43B3C"/>
    <w:rsid w:val="26DD165E"/>
    <w:rsid w:val="274A5031"/>
    <w:rsid w:val="27977A44"/>
    <w:rsid w:val="27D3094C"/>
    <w:rsid w:val="27E40F97"/>
    <w:rsid w:val="27FD67B8"/>
    <w:rsid w:val="285D1C17"/>
    <w:rsid w:val="287457AE"/>
    <w:rsid w:val="28AF1A05"/>
    <w:rsid w:val="28BE0004"/>
    <w:rsid w:val="28C606E7"/>
    <w:rsid w:val="29053CAE"/>
    <w:rsid w:val="29360800"/>
    <w:rsid w:val="293B27F4"/>
    <w:rsid w:val="29445476"/>
    <w:rsid w:val="29514455"/>
    <w:rsid w:val="295B311A"/>
    <w:rsid w:val="29932CBF"/>
    <w:rsid w:val="2A240123"/>
    <w:rsid w:val="2A3C627B"/>
    <w:rsid w:val="2A656E6E"/>
    <w:rsid w:val="2A7B7E85"/>
    <w:rsid w:val="2AB71FB6"/>
    <w:rsid w:val="2AC1174D"/>
    <w:rsid w:val="2B0674C1"/>
    <w:rsid w:val="2B4061A9"/>
    <w:rsid w:val="2B872B62"/>
    <w:rsid w:val="2BEB31D3"/>
    <w:rsid w:val="2BF715B2"/>
    <w:rsid w:val="2C295F4A"/>
    <w:rsid w:val="2C464019"/>
    <w:rsid w:val="2C5931DB"/>
    <w:rsid w:val="2C624BCB"/>
    <w:rsid w:val="2C673F8F"/>
    <w:rsid w:val="2C710E52"/>
    <w:rsid w:val="2C835533"/>
    <w:rsid w:val="2CA251B9"/>
    <w:rsid w:val="2CA32FE4"/>
    <w:rsid w:val="2CC30FC3"/>
    <w:rsid w:val="2D057E05"/>
    <w:rsid w:val="2D1D079D"/>
    <w:rsid w:val="2D502C75"/>
    <w:rsid w:val="2DE2251D"/>
    <w:rsid w:val="2E2A1718"/>
    <w:rsid w:val="2E910388"/>
    <w:rsid w:val="2EE92239"/>
    <w:rsid w:val="2F0977FE"/>
    <w:rsid w:val="2F2A645B"/>
    <w:rsid w:val="2F2E5B06"/>
    <w:rsid w:val="2F5702EB"/>
    <w:rsid w:val="2F601896"/>
    <w:rsid w:val="2FFB3907"/>
    <w:rsid w:val="300264A9"/>
    <w:rsid w:val="301A2DFD"/>
    <w:rsid w:val="305F38FB"/>
    <w:rsid w:val="30DC65DD"/>
    <w:rsid w:val="315A5F63"/>
    <w:rsid w:val="31982983"/>
    <w:rsid w:val="32016486"/>
    <w:rsid w:val="3290278D"/>
    <w:rsid w:val="32B36BD7"/>
    <w:rsid w:val="32D31707"/>
    <w:rsid w:val="32F42549"/>
    <w:rsid w:val="33400806"/>
    <w:rsid w:val="335970BA"/>
    <w:rsid w:val="335E60EC"/>
    <w:rsid w:val="33713745"/>
    <w:rsid w:val="337450C0"/>
    <w:rsid w:val="33A61841"/>
    <w:rsid w:val="33D62126"/>
    <w:rsid w:val="340B78F6"/>
    <w:rsid w:val="34240789"/>
    <w:rsid w:val="34BF3778"/>
    <w:rsid w:val="35055622"/>
    <w:rsid w:val="351A4B0B"/>
    <w:rsid w:val="3525070E"/>
    <w:rsid w:val="35E07F7D"/>
    <w:rsid w:val="3684212C"/>
    <w:rsid w:val="369933BE"/>
    <w:rsid w:val="372E28CC"/>
    <w:rsid w:val="374B6987"/>
    <w:rsid w:val="375955EE"/>
    <w:rsid w:val="3762428C"/>
    <w:rsid w:val="37774E31"/>
    <w:rsid w:val="37BF42C1"/>
    <w:rsid w:val="37DF3574"/>
    <w:rsid w:val="380D2B03"/>
    <w:rsid w:val="3826179D"/>
    <w:rsid w:val="389D1465"/>
    <w:rsid w:val="38D36F4F"/>
    <w:rsid w:val="38FB43DD"/>
    <w:rsid w:val="38FF3ECD"/>
    <w:rsid w:val="39481160"/>
    <w:rsid w:val="397525DB"/>
    <w:rsid w:val="39D92F78"/>
    <w:rsid w:val="39E84962"/>
    <w:rsid w:val="39F01A68"/>
    <w:rsid w:val="3A43428E"/>
    <w:rsid w:val="3A5B66F5"/>
    <w:rsid w:val="3B0847B6"/>
    <w:rsid w:val="3B585D3F"/>
    <w:rsid w:val="3B912DD7"/>
    <w:rsid w:val="3BB42445"/>
    <w:rsid w:val="3C21415B"/>
    <w:rsid w:val="3C523DC7"/>
    <w:rsid w:val="3CB87C01"/>
    <w:rsid w:val="3CC44DED"/>
    <w:rsid w:val="3D466582"/>
    <w:rsid w:val="3D864BBD"/>
    <w:rsid w:val="3DD05E38"/>
    <w:rsid w:val="3DE03BA2"/>
    <w:rsid w:val="3DF17A4F"/>
    <w:rsid w:val="3E690A16"/>
    <w:rsid w:val="3EA640EC"/>
    <w:rsid w:val="3EB92D70"/>
    <w:rsid w:val="3EC314F9"/>
    <w:rsid w:val="3EF85E3E"/>
    <w:rsid w:val="3EFB6EE5"/>
    <w:rsid w:val="3F253F62"/>
    <w:rsid w:val="3F5E7474"/>
    <w:rsid w:val="3F834CFB"/>
    <w:rsid w:val="3F865CA2"/>
    <w:rsid w:val="3FE21E53"/>
    <w:rsid w:val="3FEC7C8C"/>
    <w:rsid w:val="4005068C"/>
    <w:rsid w:val="400F3656"/>
    <w:rsid w:val="40505107"/>
    <w:rsid w:val="406536EC"/>
    <w:rsid w:val="40703903"/>
    <w:rsid w:val="40952C78"/>
    <w:rsid w:val="40A34F80"/>
    <w:rsid w:val="40CD2B03"/>
    <w:rsid w:val="412D35A2"/>
    <w:rsid w:val="41543EC7"/>
    <w:rsid w:val="417A5DB1"/>
    <w:rsid w:val="41CF6407"/>
    <w:rsid w:val="42132BCD"/>
    <w:rsid w:val="423E416A"/>
    <w:rsid w:val="4272121C"/>
    <w:rsid w:val="43000F6E"/>
    <w:rsid w:val="43087E22"/>
    <w:rsid w:val="43397FDC"/>
    <w:rsid w:val="438C3D15"/>
    <w:rsid w:val="438C70B7"/>
    <w:rsid w:val="43C55D14"/>
    <w:rsid w:val="441D16AC"/>
    <w:rsid w:val="443E7E62"/>
    <w:rsid w:val="4474551E"/>
    <w:rsid w:val="448259B3"/>
    <w:rsid w:val="44D02A12"/>
    <w:rsid w:val="44D779AE"/>
    <w:rsid w:val="44EB0946"/>
    <w:rsid w:val="45027F52"/>
    <w:rsid w:val="451673FA"/>
    <w:rsid w:val="451B276B"/>
    <w:rsid w:val="4525398A"/>
    <w:rsid w:val="45301444"/>
    <w:rsid w:val="45432A57"/>
    <w:rsid w:val="456B4699"/>
    <w:rsid w:val="458C4D3B"/>
    <w:rsid w:val="458F0387"/>
    <w:rsid w:val="45F46DA9"/>
    <w:rsid w:val="460E76C8"/>
    <w:rsid w:val="460F6E85"/>
    <w:rsid w:val="46195EA3"/>
    <w:rsid w:val="46BB4801"/>
    <w:rsid w:val="46D758AA"/>
    <w:rsid w:val="46DC584E"/>
    <w:rsid w:val="46FB5788"/>
    <w:rsid w:val="47022DDB"/>
    <w:rsid w:val="47255961"/>
    <w:rsid w:val="4739029E"/>
    <w:rsid w:val="473A02E2"/>
    <w:rsid w:val="47410492"/>
    <w:rsid w:val="47495B1E"/>
    <w:rsid w:val="474A4912"/>
    <w:rsid w:val="4805375F"/>
    <w:rsid w:val="488B752C"/>
    <w:rsid w:val="48DA253D"/>
    <w:rsid w:val="4916548C"/>
    <w:rsid w:val="491D3EFC"/>
    <w:rsid w:val="49B926B6"/>
    <w:rsid w:val="49C373CD"/>
    <w:rsid w:val="49D85C06"/>
    <w:rsid w:val="4A1F77FA"/>
    <w:rsid w:val="4A5C745E"/>
    <w:rsid w:val="4AAE0160"/>
    <w:rsid w:val="4AEC165E"/>
    <w:rsid w:val="4AEE640A"/>
    <w:rsid w:val="4AFC7B08"/>
    <w:rsid w:val="4B3134FA"/>
    <w:rsid w:val="4B8B15F1"/>
    <w:rsid w:val="4B9647E1"/>
    <w:rsid w:val="4B980293"/>
    <w:rsid w:val="4BC208CE"/>
    <w:rsid w:val="4BEB02E1"/>
    <w:rsid w:val="4C112607"/>
    <w:rsid w:val="4C3A3EBE"/>
    <w:rsid w:val="4CAA5AA7"/>
    <w:rsid w:val="4CC528E0"/>
    <w:rsid w:val="4D1656C9"/>
    <w:rsid w:val="4D587531"/>
    <w:rsid w:val="4D5D6FBD"/>
    <w:rsid w:val="4D6B792C"/>
    <w:rsid w:val="4D896F4C"/>
    <w:rsid w:val="4DB20130"/>
    <w:rsid w:val="4DC725C0"/>
    <w:rsid w:val="4DD83509"/>
    <w:rsid w:val="4DFA2EF4"/>
    <w:rsid w:val="4E7B3B9E"/>
    <w:rsid w:val="4EB01C0C"/>
    <w:rsid w:val="4EB26E94"/>
    <w:rsid w:val="4EE85811"/>
    <w:rsid w:val="4F2A2ECF"/>
    <w:rsid w:val="4F7078B6"/>
    <w:rsid w:val="4FA64B01"/>
    <w:rsid w:val="4FC42B58"/>
    <w:rsid w:val="50106568"/>
    <w:rsid w:val="50112CAC"/>
    <w:rsid w:val="505D09DE"/>
    <w:rsid w:val="50AF4E94"/>
    <w:rsid w:val="50F24D94"/>
    <w:rsid w:val="5107796B"/>
    <w:rsid w:val="514A7858"/>
    <w:rsid w:val="51581671"/>
    <w:rsid w:val="51B16914"/>
    <w:rsid w:val="51B73303"/>
    <w:rsid w:val="5201260D"/>
    <w:rsid w:val="52126949"/>
    <w:rsid w:val="5221349A"/>
    <w:rsid w:val="52266BEA"/>
    <w:rsid w:val="524441FA"/>
    <w:rsid w:val="524D13AE"/>
    <w:rsid w:val="526B2EF2"/>
    <w:rsid w:val="52872DA4"/>
    <w:rsid w:val="52A1794C"/>
    <w:rsid w:val="52B07B8F"/>
    <w:rsid w:val="52BE2A5F"/>
    <w:rsid w:val="531F5BB4"/>
    <w:rsid w:val="53426C11"/>
    <w:rsid w:val="534722A1"/>
    <w:rsid w:val="534F0812"/>
    <w:rsid w:val="537D3F15"/>
    <w:rsid w:val="53AF28BC"/>
    <w:rsid w:val="53E64DB7"/>
    <w:rsid w:val="545D1041"/>
    <w:rsid w:val="5486329D"/>
    <w:rsid w:val="54921C42"/>
    <w:rsid w:val="54C0055D"/>
    <w:rsid w:val="55222C89"/>
    <w:rsid w:val="55480552"/>
    <w:rsid w:val="55664F64"/>
    <w:rsid w:val="55C20305"/>
    <w:rsid w:val="56020701"/>
    <w:rsid w:val="56231129"/>
    <w:rsid w:val="562E469C"/>
    <w:rsid w:val="56404134"/>
    <w:rsid w:val="56462F79"/>
    <w:rsid w:val="56644F18"/>
    <w:rsid w:val="567A0BDF"/>
    <w:rsid w:val="568966F7"/>
    <w:rsid w:val="568F750C"/>
    <w:rsid w:val="56984225"/>
    <w:rsid w:val="571A1A7B"/>
    <w:rsid w:val="571C6012"/>
    <w:rsid w:val="57734F1B"/>
    <w:rsid w:val="57F44ABA"/>
    <w:rsid w:val="58003366"/>
    <w:rsid w:val="581666E6"/>
    <w:rsid w:val="581A0B8C"/>
    <w:rsid w:val="582B2191"/>
    <w:rsid w:val="58450ABF"/>
    <w:rsid w:val="584D65AC"/>
    <w:rsid w:val="587D0513"/>
    <w:rsid w:val="59035972"/>
    <w:rsid w:val="591A203B"/>
    <w:rsid w:val="5939268C"/>
    <w:rsid w:val="594352B9"/>
    <w:rsid w:val="597946DF"/>
    <w:rsid w:val="59E720E8"/>
    <w:rsid w:val="59F35F66"/>
    <w:rsid w:val="5A0802B0"/>
    <w:rsid w:val="5A0E69A3"/>
    <w:rsid w:val="5A4E29E5"/>
    <w:rsid w:val="5A53673E"/>
    <w:rsid w:val="5A8427A0"/>
    <w:rsid w:val="5ABB1770"/>
    <w:rsid w:val="5ADD4A71"/>
    <w:rsid w:val="5B175224"/>
    <w:rsid w:val="5B2B4256"/>
    <w:rsid w:val="5B3837C0"/>
    <w:rsid w:val="5B3A45CB"/>
    <w:rsid w:val="5B6D4226"/>
    <w:rsid w:val="5B8F5BC6"/>
    <w:rsid w:val="5C3B6517"/>
    <w:rsid w:val="5C500329"/>
    <w:rsid w:val="5C7F7FAC"/>
    <w:rsid w:val="5C9078D6"/>
    <w:rsid w:val="5D4764E6"/>
    <w:rsid w:val="5D66781D"/>
    <w:rsid w:val="5D686545"/>
    <w:rsid w:val="5D821F26"/>
    <w:rsid w:val="5D8365CC"/>
    <w:rsid w:val="5D8A7F0F"/>
    <w:rsid w:val="5DA402F0"/>
    <w:rsid w:val="5DDC2EEE"/>
    <w:rsid w:val="5DE60909"/>
    <w:rsid w:val="5DEC14F9"/>
    <w:rsid w:val="5E420235"/>
    <w:rsid w:val="5E824AD5"/>
    <w:rsid w:val="5E9465B6"/>
    <w:rsid w:val="5E987E55"/>
    <w:rsid w:val="5ECD5595"/>
    <w:rsid w:val="5ECE39BB"/>
    <w:rsid w:val="5F025C16"/>
    <w:rsid w:val="5F453BDB"/>
    <w:rsid w:val="5FC825C6"/>
    <w:rsid w:val="5FD86C91"/>
    <w:rsid w:val="5FDB59D6"/>
    <w:rsid w:val="6007611F"/>
    <w:rsid w:val="60150219"/>
    <w:rsid w:val="60477D84"/>
    <w:rsid w:val="609B0280"/>
    <w:rsid w:val="60C91A3A"/>
    <w:rsid w:val="60CF7835"/>
    <w:rsid w:val="610C164A"/>
    <w:rsid w:val="610F0176"/>
    <w:rsid w:val="6114688D"/>
    <w:rsid w:val="61526F6E"/>
    <w:rsid w:val="616731BD"/>
    <w:rsid w:val="618A5EFC"/>
    <w:rsid w:val="619148F7"/>
    <w:rsid w:val="61930DA7"/>
    <w:rsid w:val="6198490F"/>
    <w:rsid w:val="61A22D98"/>
    <w:rsid w:val="61A905CB"/>
    <w:rsid w:val="61D45648"/>
    <w:rsid w:val="61F94AB2"/>
    <w:rsid w:val="61FA5610"/>
    <w:rsid w:val="62015640"/>
    <w:rsid w:val="620220E7"/>
    <w:rsid w:val="620E70EB"/>
    <w:rsid w:val="62142A61"/>
    <w:rsid w:val="627209BD"/>
    <w:rsid w:val="6279297D"/>
    <w:rsid w:val="628250A4"/>
    <w:rsid w:val="628F5E01"/>
    <w:rsid w:val="62960B4F"/>
    <w:rsid w:val="62A43985"/>
    <w:rsid w:val="62CE25AA"/>
    <w:rsid w:val="634560D1"/>
    <w:rsid w:val="634E142A"/>
    <w:rsid w:val="635D095A"/>
    <w:rsid w:val="63696264"/>
    <w:rsid w:val="63D30291"/>
    <w:rsid w:val="64004955"/>
    <w:rsid w:val="640815D9"/>
    <w:rsid w:val="642804D7"/>
    <w:rsid w:val="64636AF7"/>
    <w:rsid w:val="6481138B"/>
    <w:rsid w:val="64823723"/>
    <w:rsid w:val="64984234"/>
    <w:rsid w:val="64A20DBA"/>
    <w:rsid w:val="64BE7B84"/>
    <w:rsid w:val="64FE7CAC"/>
    <w:rsid w:val="650C4102"/>
    <w:rsid w:val="651144BD"/>
    <w:rsid w:val="6549634D"/>
    <w:rsid w:val="657D36E6"/>
    <w:rsid w:val="65B53AD9"/>
    <w:rsid w:val="660A0E3D"/>
    <w:rsid w:val="663A0295"/>
    <w:rsid w:val="667F18FA"/>
    <w:rsid w:val="66990C0E"/>
    <w:rsid w:val="66DE2AC5"/>
    <w:rsid w:val="66E520A5"/>
    <w:rsid w:val="670818F0"/>
    <w:rsid w:val="67645492"/>
    <w:rsid w:val="677B72A3"/>
    <w:rsid w:val="678445C4"/>
    <w:rsid w:val="67E63ED9"/>
    <w:rsid w:val="67FA1A50"/>
    <w:rsid w:val="680C1AEE"/>
    <w:rsid w:val="681A6589"/>
    <w:rsid w:val="68660FC4"/>
    <w:rsid w:val="68B166E3"/>
    <w:rsid w:val="68FB6E50"/>
    <w:rsid w:val="69032B47"/>
    <w:rsid w:val="69522837"/>
    <w:rsid w:val="69722BCB"/>
    <w:rsid w:val="69780837"/>
    <w:rsid w:val="699D0A15"/>
    <w:rsid w:val="69C13537"/>
    <w:rsid w:val="69D73973"/>
    <w:rsid w:val="69EA352F"/>
    <w:rsid w:val="69EE1271"/>
    <w:rsid w:val="6A6C21BB"/>
    <w:rsid w:val="6A7B295E"/>
    <w:rsid w:val="6AC21AD5"/>
    <w:rsid w:val="6AF97ECD"/>
    <w:rsid w:val="6B4C2FEF"/>
    <w:rsid w:val="6B6F4993"/>
    <w:rsid w:val="6BAA7419"/>
    <w:rsid w:val="6BAE516A"/>
    <w:rsid w:val="6BD91B3A"/>
    <w:rsid w:val="6BDF7CCC"/>
    <w:rsid w:val="6C006260"/>
    <w:rsid w:val="6C28206F"/>
    <w:rsid w:val="6C2E3BA6"/>
    <w:rsid w:val="6C864DE3"/>
    <w:rsid w:val="6C910834"/>
    <w:rsid w:val="6C975BF0"/>
    <w:rsid w:val="6D142C4A"/>
    <w:rsid w:val="6D855A48"/>
    <w:rsid w:val="6D8B7482"/>
    <w:rsid w:val="6DAA1953"/>
    <w:rsid w:val="6DBC42C8"/>
    <w:rsid w:val="6DCE5641"/>
    <w:rsid w:val="6E016145"/>
    <w:rsid w:val="6E7B5B56"/>
    <w:rsid w:val="6F4340A4"/>
    <w:rsid w:val="6F60051B"/>
    <w:rsid w:val="6F657D34"/>
    <w:rsid w:val="6F742218"/>
    <w:rsid w:val="6F8A01F7"/>
    <w:rsid w:val="6F9717E7"/>
    <w:rsid w:val="6FA338A6"/>
    <w:rsid w:val="6FBA25F9"/>
    <w:rsid w:val="701373C9"/>
    <w:rsid w:val="702E0B10"/>
    <w:rsid w:val="70587C63"/>
    <w:rsid w:val="70DD3DED"/>
    <w:rsid w:val="70FD0C1F"/>
    <w:rsid w:val="711F3BD4"/>
    <w:rsid w:val="71597571"/>
    <w:rsid w:val="716965A9"/>
    <w:rsid w:val="71A32941"/>
    <w:rsid w:val="71D46F9E"/>
    <w:rsid w:val="721A0977"/>
    <w:rsid w:val="72547AD7"/>
    <w:rsid w:val="725F0F5E"/>
    <w:rsid w:val="72BF37AA"/>
    <w:rsid w:val="72C50B17"/>
    <w:rsid w:val="72D57472"/>
    <w:rsid w:val="7326786A"/>
    <w:rsid w:val="73473521"/>
    <w:rsid w:val="73491C0D"/>
    <w:rsid w:val="73492B25"/>
    <w:rsid w:val="735707F0"/>
    <w:rsid w:val="735B0DE2"/>
    <w:rsid w:val="73B54BAD"/>
    <w:rsid w:val="74067B15"/>
    <w:rsid w:val="743862BD"/>
    <w:rsid w:val="74B45625"/>
    <w:rsid w:val="74BE7A92"/>
    <w:rsid w:val="74CB25E2"/>
    <w:rsid w:val="74CE5F27"/>
    <w:rsid w:val="74DA01CA"/>
    <w:rsid w:val="74FA4F6E"/>
    <w:rsid w:val="751604DE"/>
    <w:rsid w:val="753F0BD2"/>
    <w:rsid w:val="75542FB9"/>
    <w:rsid w:val="756D1C50"/>
    <w:rsid w:val="75813C64"/>
    <w:rsid w:val="75A4692A"/>
    <w:rsid w:val="75B8229B"/>
    <w:rsid w:val="75CD645C"/>
    <w:rsid w:val="75F41CFE"/>
    <w:rsid w:val="76472434"/>
    <w:rsid w:val="76475F41"/>
    <w:rsid w:val="764A772C"/>
    <w:rsid w:val="769E5D83"/>
    <w:rsid w:val="76F105F2"/>
    <w:rsid w:val="76F25767"/>
    <w:rsid w:val="771147F1"/>
    <w:rsid w:val="77352893"/>
    <w:rsid w:val="779F1CDF"/>
    <w:rsid w:val="77D74079"/>
    <w:rsid w:val="77DB24F3"/>
    <w:rsid w:val="78197E01"/>
    <w:rsid w:val="781A62AC"/>
    <w:rsid w:val="784309DA"/>
    <w:rsid w:val="784F7DEE"/>
    <w:rsid w:val="78BE62B2"/>
    <w:rsid w:val="78C806EE"/>
    <w:rsid w:val="78CE1884"/>
    <w:rsid w:val="79005C26"/>
    <w:rsid w:val="7923367F"/>
    <w:rsid w:val="793022DA"/>
    <w:rsid w:val="7932627F"/>
    <w:rsid w:val="794874C6"/>
    <w:rsid w:val="79F91C98"/>
    <w:rsid w:val="7A102B3D"/>
    <w:rsid w:val="7A1A47B8"/>
    <w:rsid w:val="7A1F7224"/>
    <w:rsid w:val="7A7A445B"/>
    <w:rsid w:val="7ABB7E6B"/>
    <w:rsid w:val="7B2418EC"/>
    <w:rsid w:val="7B2525C8"/>
    <w:rsid w:val="7B363D54"/>
    <w:rsid w:val="7B911F3A"/>
    <w:rsid w:val="7BA85CFD"/>
    <w:rsid w:val="7BB51F3A"/>
    <w:rsid w:val="7BC23531"/>
    <w:rsid w:val="7C0E0898"/>
    <w:rsid w:val="7C262495"/>
    <w:rsid w:val="7C2E374F"/>
    <w:rsid w:val="7CA0289E"/>
    <w:rsid w:val="7CB4087A"/>
    <w:rsid w:val="7CC05678"/>
    <w:rsid w:val="7D3B2A1E"/>
    <w:rsid w:val="7DF94B42"/>
    <w:rsid w:val="7EA146AC"/>
    <w:rsid w:val="7F0142BC"/>
    <w:rsid w:val="7F1903B6"/>
    <w:rsid w:val="7F2801AA"/>
    <w:rsid w:val="7F2A3067"/>
    <w:rsid w:val="7F2E733D"/>
    <w:rsid w:val="7F9D5815"/>
    <w:rsid w:val="7FC53407"/>
    <w:rsid w:val="7FE04082"/>
    <w:rsid w:val="7FFB2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8"/>
      <w:szCs w:val="22"/>
      <w:lang w:val="en-US" w:eastAsia="zh-CN" w:bidi="ar-SA"/>
    </w:rPr>
  </w:style>
  <w:style w:type="paragraph" w:styleId="2">
    <w:name w:val="heading 1"/>
    <w:next w:val="1"/>
    <w:link w:val="29"/>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3">
    <w:name w:val="Default Paragraph Font"/>
    <w:semiHidden/>
    <w:unhideWhenUsed/>
    <w:qFormat/>
    <w:uiPriority w:val="1"/>
  </w:style>
  <w:style w:type="table" w:default="1" w:styleId="21">
    <w:name w:val="Normal Table"/>
    <w:semiHidden/>
    <w:qFormat/>
    <w:uiPriority w:val="0"/>
    <w:tblPr>
      <w:tblCellMar>
        <w:top w:w="0" w:type="dxa"/>
        <w:left w:w="108" w:type="dxa"/>
        <w:bottom w:w="0" w:type="dxa"/>
        <w:right w:w="108" w:type="dxa"/>
      </w:tblCellMar>
    </w:tblPr>
  </w:style>
  <w:style w:type="paragraph" w:styleId="11">
    <w:name w:val="Body Text"/>
    <w:semiHidden/>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toc 3"/>
    <w:basedOn w:val="1"/>
    <w:next w:val="1"/>
    <w:unhideWhenUsed/>
    <w:qFormat/>
    <w:uiPriority w:val="39"/>
    <w:pPr>
      <w:ind w:left="840" w:leftChars="400"/>
    </w:pPr>
  </w:style>
  <w:style w:type="paragraph" w:styleId="13">
    <w:name w:val="Plain Text"/>
    <w:basedOn w:val="1"/>
    <w:link w:val="26"/>
    <w:qFormat/>
    <w:uiPriority w:val="0"/>
    <w:rPr>
      <w:rFonts w:ascii="宋体" w:hAnsi="Courier New" w:eastAsia="宋体" w:cs="Courier New"/>
      <w:szCs w:val="21"/>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8">
    <w:name w:val="toc 2"/>
    <w:basedOn w:val="1"/>
    <w:next w:val="1"/>
    <w:unhideWhenUsed/>
    <w:qFormat/>
    <w:uiPriority w:val="39"/>
    <w:pPr>
      <w:ind w:left="420" w:leftChars="200"/>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customStyle="1" w:styleId="26">
    <w:name w:val="纯文本 Char"/>
    <w:basedOn w:val="23"/>
    <w:link w:val="13"/>
    <w:qFormat/>
    <w:uiPriority w:val="0"/>
    <w:rPr>
      <w:rFonts w:ascii="宋体" w:hAnsi="Courier New" w:eastAsia="宋体" w:cs="Courier New"/>
      <w:szCs w:val="21"/>
    </w:rPr>
  </w:style>
  <w:style w:type="character" w:customStyle="1" w:styleId="27">
    <w:name w:val="font21"/>
    <w:basedOn w:val="23"/>
    <w:qFormat/>
    <w:uiPriority w:val="0"/>
    <w:rPr>
      <w:rFonts w:hint="eastAsia" w:ascii="宋体" w:hAnsi="宋体" w:eastAsia="宋体" w:cs="宋体"/>
      <w:color w:val="000000"/>
      <w:sz w:val="24"/>
      <w:szCs w:val="24"/>
      <w:u w:val="none"/>
      <w:vertAlign w:val="superscript"/>
    </w:rPr>
  </w:style>
  <w:style w:type="character" w:customStyle="1" w:styleId="28">
    <w:name w:val="font11"/>
    <w:basedOn w:val="23"/>
    <w:qFormat/>
    <w:uiPriority w:val="0"/>
    <w:rPr>
      <w:rFonts w:hint="eastAsia" w:ascii="宋体" w:hAnsi="宋体" w:eastAsia="宋体" w:cs="宋体"/>
      <w:color w:val="000000"/>
      <w:sz w:val="24"/>
      <w:szCs w:val="24"/>
      <w:u w:val="none"/>
    </w:rPr>
  </w:style>
  <w:style w:type="character" w:customStyle="1" w:styleId="29">
    <w:name w:val="标题 1 Char"/>
    <w:basedOn w:val="23"/>
    <w:link w:val="2"/>
    <w:qFormat/>
    <w:uiPriority w:val="9"/>
    <w:rPr>
      <w:rFonts w:ascii="Times New Roman" w:hAnsi="Times New Roman" w:eastAsia="黑体" w:cs="Times New Roman"/>
      <w:color w:val="000000"/>
      <w:kern w:val="44"/>
      <w:sz w:val="32"/>
      <w:szCs w:val="44"/>
    </w:rPr>
  </w:style>
  <w:style w:type="character" w:customStyle="1" w:styleId="30">
    <w:name w:val="font31"/>
    <w:basedOn w:val="23"/>
    <w:qFormat/>
    <w:uiPriority w:val="0"/>
    <w:rPr>
      <w:rFonts w:hint="default" w:ascii="Times New Roman" w:hAnsi="Times New Roman" w:cs="Times New Roman"/>
      <w:color w:val="000000"/>
      <w:sz w:val="22"/>
      <w:szCs w:val="22"/>
      <w:u w:val="none"/>
      <w:vertAlign w:val="superscript"/>
    </w:rPr>
  </w:style>
  <w:style w:type="paragraph" w:customStyle="1" w:styleId="31">
    <w:name w:val="p0"/>
    <w:basedOn w:val="1"/>
    <w:qFormat/>
    <w:uiPriority w:val="0"/>
    <w:pPr>
      <w:widowControl/>
    </w:pPr>
    <w:rPr>
      <w:kern w:val="0"/>
      <w:szCs w:val="20"/>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Table Text"/>
    <w:basedOn w:val="1"/>
    <w:semiHidden/>
    <w:qFormat/>
    <w:uiPriority w:val="0"/>
    <w:rPr>
      <w:rFonts w:ascii="Times New Roman" w:hAnsi="Times New Roman" w:eastAsia="Times New Roman" w:cs="Times New Roman"/>
      <w:sz w:val="22"/>
      <w:szCs w:val="22"/>
      <w:lang w:val="en-US" w:eastAsia="en-US" w:bidi="ar-SA"/>
    </w:rPr>
  </w:style>
  <w:style w:type="paragraph" w:customStyle="1" w:styleId="34">
    <w:name w:val="章标题"/>
    <w:next w:val="1"/>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bidi="ar-SA"/>
    </w:rPr>
  </w:style>
  <w:style w:type="paragraph" w:customStyle="1" w:styleId="35">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2.jpeg"/><Relationship Id="rId26" Type="http://schemas.openxmlformats.org/officeDocument/2006/relationships/image" Target="media/image11.jpeg"/><Relationship Id="rId25" Type="http://schemas.openxmlformats.org/officeDocument/2006/relationships/image" Target="media/image10.jpe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header" Target="header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6d31ddef-4d02-4b31-902b-1f790a4d0711</errorID>
      <errorWord xmlns="http://schemas.wps.cn/vas-ai-hub/contract-review">《中共中央办公厅、国务院办公厅</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《中共中央办公厅 国务院办公厅</item>
      </candidateList>
      <explain xmlns="http://schemas.wps.cn/vas-ai-hub/contract-review"/>
      <paraID xmlns="http://schemas.wps.cn/vas-ai-hub/contract-review">673B8908</paraID>
      <start xmlns="http://schemas.wps.cn/vas-ai-hub/contract-review">2</start>
      <end xmlns="http://schemas.wps.cn/vas-ai-hub/contract-review">17</end>
      <status xmlns="http://schemas.wps.cn/vas-ai-hub/contract-review">modified</status>
      <modifiedWord xmlns="http://schemas.wps.cn/vas-ai-hub/contract-review">《中共中央办公厅 国务院办公厅</modifiedWord>
      <trackRevisions xmlns="http://schemas.wps.cn/vas-ai-hub/contract-review">false</trackRevisions>
    </reviewItem>
    <reviewItem xmlns="http://schemas.wps.cn/vas-ai-hub/contract-review">
      <errorID xmlns="http://schemas.wps.cn/vas-ai-hub/contract-review">ce6b266e-fb16-4377-bc6e-20e85003e5aa</errorID>
      <errorWord xmlns="http://schemas.wps.cn/vas-ai-hub/contract-review">黑龙江省土地管理条例</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该法规已废止，请注意检查引用是否正确。</explain>
      <paraID xmlns="http://schemas.wps.cn/vas-ai-hub/contract-review">7BFEA71A</paraID>
      <start xmlns="http://schemas.wps.cn/vas-ai-hub/contract-review">3</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2c307042-589c-4c93-99da-c2986ee4ba75</errorID>
      <errorWord xmlns="http://schemas.wps.cn/vas-ai-hub/contract-review">黑龙江省河道管理条例</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该法规已废止，请注意检查引用是否正确。</explain>
      <paraID xmlns="http://schemas.wps.cn/vas-ai-hub/contract-review">4ED6B194</paraID>
      <start xmlns="http://schemas.wps.cn/vas-ai-hub/contract-review">3</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787fd061-db98-439f-80ec-c2961f3972dc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95A65EA</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db80c6ba-df6a-453b-bf38-0a3c04a7605a</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26CB410B</paraID>
      <start xmlns="http://schemas.wps.cn/vas-ai-hub/contract-review">6</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700f162b-867d-4edc-9d0e-b9b40757f6b3</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 AF449D8</paraID>
      <start xmlns="http://schemas.wps.cn/vas-ai-hub/contract-review">92</start>
      <end xmlns="http://schemas.wps.cn/vas-ai-hub/contract-review">93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b9e1b861-bf79-41a0-a4a8-1feeccc4f3e8</errorID>
      <errorWord xmlns="http://schemas.wps.cn/vas-ai-hub/contract-review">年平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平均</item>
      </candidateList>
      <explain xmlns="http://schemas.wps.cn/vas-ai-hub/contract-review"/>
      <paraID xmlns="http://schemas.wps.cn/vas-ai-hub/contract-review">3544960C</paraID>
      <start xmlns="http://schemas.wps.cn/vas-ai-hub/contract-review">242</start>
      <end xmlns="http://schemas.wps.cn/vas-ai-hub/contract-review">244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30db8c03-e05f-4496-93ba-65b6aea30659</errorID>
      <errorWord xmlns="http://schemas.wps.cn/vas-ai-hub/contract-review">重碳酸盐</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碳酸氢盐</item>
      </candidateList>
      <explain xmlns="http://schemas.wps.cn/vas-ai-hub/contract-review">医学名词[重碳酸盐]为不规范表述或旧称，其规范书面表述为[碳酸氢盐]。</explain>
      <paraID xmlns="http://schemas.wps.cn/vas-ai-hub/contract-review">125C114E</paraID>
      <start xmlns="http://schemas.wps.cn/vas-ai-hub/contract-review">158</start>
      <end xmlns="http://schemas.wps.cn/vas-ai-hub/contract-review">162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db233213-1fbf-4e39-bb0c-9f84a1c0d9cb</errorID>
      <errorWord xmlns="http://schemas.wps.cn/vas-ai-hub/contract-review">截止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截至</item>
      </candidateList>
      <explain xmlns="http://schemas.wps.cn/vas-ai-hub/contract-review">存在发音相同字词的误用。</explain>
      <paraID xmlns="http://schemas.wps.cn/vas-ai-hub/contract-review">75998926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d1ab2bf0-392e-42f0-a12d-dd0f0023c8a1</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47F2ABA7</paraID>
      <start xmlns="http://schemas.wps.cn/vas-ai-hub/contract-review">47</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15f3339b-b072-42ed-8450-d07daa3d7dca</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7942C3B1</paraID>
      <start xmlns="http://schemas.wps.cn/vas-ai-hub/contract-review">125</start>
      <end xmlns="http://schemas.wps.cn/vas-ai-hub/contract-review">129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745af626-2370-46d4-ba74-9b434076f8d2</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799E7AB5</paraID>
      <start xmlns="http://schemas.wps.cn/vas-ai-hub/contract-review">0</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d82ba78f-0518-40c0-810e-d6e50e45c1b9</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76F88CC6</paraID>
      <start xmlns="http://schemas.wps.cn/vas-ai-hub/contract-review">0</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e92ae5c8-6fc8-4f03-b1d1-2bba69c59645</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3FF9CD73</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297b7f8c-6829-4cdf-aa27-ad8d6c695c20</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26183BB0</paraID>
      <start xmlns="http://schemas.wps.cn/vas-ai-hub/contract-review">8</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9f1da3e9-c491-4932-91e7-a5cfbea4bba7</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4F59BF2E</paraID>
      <start xmlns="http://schemas.wps.cn/vas-ai-hub/contract-review">0</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384846be-1107-4c27-a9d3-c25532ccb2a9</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4F59BF2E</paraID>
      <start xmlns="http://schemas.wps.cn/vas-ai-hub/contract-review">120</start>
      <end xmlns="http://schemas.wps.cn/vas-ai-hub/contract-review">127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5fe561d2-947b-4170-820e-9d7c961e6ebe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2833D337</paraID>
      <start xmlns="http://schemas.wps.cn/vas-ai-hub/contract-review">87</start>
      <end xmlns="http://schemas.wps.cn/vas-ai-hub/contract-review">88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9c59b9d4-bbaf-457c-a4a4-a4a1f7655c25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513D009A</paraID>
      <start xmlns="http://schemas.wps.cn/vas-ai-hub/contract-review">106</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a0f49546-7cd0-4b11-b343-8c2fb69763f0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513D009A</paraID>
      <start xmlns="http://schemas.wps.cn/vas-ai-hub/contract-review">130</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b16a1487-c6cd-4e2c-9887-ae104934e88e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513D009A</paraID>
      <start xmlns="http://schemas.wps.cn/vas-ai-hub/contract-review">136</start>
      <end xmlns="http://schemas.wps.cn/vas-ai-hub/contract-review">137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8b3ee2ca-eb49-4734-965e-a7b80539d998</errorID>
      <errorWord xmlns="http://schemas.wps.cn/vas-ai-hub/contract-review">生物多样性维护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item>
      </candidateList>
      <explain xmlns="http://schemas.wps.cn/vas-ai-hub/contract-review">词汇“生物多样性保护”在特定场景下为固定表述形式，请确认此处的“生物多样性维护”是否存在不当。</explain>
      <paraID xmlns="http://schemas.wps.cn/vas-ai-hub/contract-review">48F6EFBC</paraID>
      <start xmlns="http://schemas.wps.cn/vas-ai-hub/contract-review">7</start>
      <end xmlns="http://schemas.wps.cn/vas-ai-hub/contract-review">14</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9123f7-2ac9-4621-8a88-e70bed707f41}">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1026</Words>
  <Characters>1296</Characters>
  <Lines>0</Lines>
  <Paragraphs>0</Paragraphs>
  <TotalTime>22</TotalTime>
  <ScaleCrop>false</ScaleCrop>
  <LinksUpToDate>false</LinksUpToDate>
  <CharactersWithSpaces>1643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2025-11-14T11:17:00Z</dcterms:created>
  <dc:creator>Administrator</dc:creator>
  <cp:lastModifiedBy>user</cp:lastModifiedBy>
  <dcterms:modified xsi:type="dcterms:W3CDTF">2026-07-23T15:36:30Z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eyJoZGlkIjoiZmIyMTE2YWE3ZTU5MDk5ZGQ2MTc5ODMzNTg2ZTMyOWYiLCJ1c2VySWQiOiIxNjY2Nzc0MzgxIn0=</vt:lpwstr>
  </property>
  <property fmtid="{D5CDD505-2E9C-101B-9397-08002B2CF9AE}" pid="4" name="ICV">
    <vt:lpwstr>EBDBE9439FDC194B7EC4616AC4D2F663_43</vt:lpwstr>
  </property>
</Properties>
</file>